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SRV — Inkrafttreten</w:t>
      </w:r>
    </w:p>
    <w:p>
      <w:r>
        <w:rPr>
          <w:color w:val="555555"/>
          <w:sz w:val="18"/>
        </w:rPr>
        <w:t xml:space="preserve">Schutzschriftenregisterverordnung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2 Absatz 4 Satz 2, Absatz 5 Nummer 2 und 3 dieser Verordnung tritt am 1. Januar 2017 in Kraft.</w:t>
      </w:r>
    </w:p>
    <w:p>
      <w:r>
        <w:t xml:space="preserve">(2) § 2 Absatz 5 Nummer 1 dieser Verordnung tritt am 1. Januar 2018 in Kraft.</w:t>
      </w:r>
    </w:p>
    <w:p>
      <w:r>
        <w:t xml:space="preserve">(3) Im Übrigen tritt diese Verordnung am 1. Januar 2016 in Kraft.</w:t>
      </w:r>
    </w:p>
    <w:p>
      <w:r>
        <w:rPr>
          <w:color w:val="555555"/>
          <w:sz w:val="17"/>
        </w:rPr>
        <w:t xml:space="preserve">Zitiervorschlag: § 10 SRV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