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SRV — Inhalt und Aufbau des Registers</w:t>
      </w:r>
    </w:p>
    <w:p>
      <w:r>
        <w:rPr>
          <w:color w:val="555555"/>
          <w:sz w:val="18"/>
        </w:rPr>
        <w:t xml:space="preserve">Schutzschriftenregisterverordnung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Register enthält die Schutzschriften, die ihm gemäß § 945a Absatz 1 Satz 1 der Zivilprozessordnung übermittelt worden sind.</w:t>
      </w:r>
    </w:p>
    <w:p>
      <w:r>
        <w:t xml:space="preserve">(2) Das Register hat über jede eingestellte Schutzschrift folgende Angaben zu enthalten:</w:t>
      </w:r>
    </w:p>
    <w:p>
      <w:pPr>
        <w:ind w:left="420"/>
      </w:pPr>
      <w:r>
        <w:t xml:space="preserve">1. die Bezeichnung der Parteien,</w:t>
      </w:r>
    </w:p>
    <w:p>
      <w:pPr>
        <w:ind w:left="420"/>
      </w:pPr>
      <w:r>
        <w:t xml:space="preserve">2. die bestimmte Angabe des Gegenstands,</w:t>
      </w:r>
    </w:p>
    <w:p>
      <w:pPr>
        <w:ind w:left="420"/>
      </w:pPr>
      <w:r>
        <w:t xml:space="preserve">3. das Datum und die Uhrzeit der Einstellung der Schutzschrift.</w:t>
      </w:r>
    </w:p>
    <w:p>
      <w:r>
        <w:t xml:space="preserve">(3) Das Register enthält eine Suchfunktion, die es dem Gericht ermöglicht, nach der Bezeichnung der Parteien zu suchen. Auf Grundlage des nach Satz 1 ermittelten Suchergebnisses kann die Suche durch Angabe des Gegenstands und des Zeitraums der Einreichung eingeschränkt werden.</w:t>
      </w:r>
    </w:p>
    <w:p>
      <w:r>
        <w:t xml:space="preserve">(4) Die Suchfunktion stellt sicher, dass auch ähnliche Ergebnisse angezeigt und Eingabefehler sowie ungenaue Parteibezeichnungen toleriert werden.</w:t>
      </w:r>
    </w:p>
    <w:p>
      <w:r>
        <w:rPr>
          <w:color w:val="555555"/>
          <w:sz w:val="17"/>
        </w:rPr>
        <w:t xml:space="preserve">Zitiervorschlag: § 1 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