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SPrüfV (Bayern) — Inkrafttreten, Außerkrafttreten</w:t>
      </w:r>
    </w:p>
    <w:p>
      <w:r>
        <w:rPr>
          <w:color w:val="555555"/>
          <w:sz w:val="18"/>
        </w:rPr>
        <w:t xml:space="preserve">Sicherheitsanlagen-Prüfverordnung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2002 in Kraft; sie tritt mit Ablauf des 31. Dezember 2028 außer Kraft.</w:t>
      </w:r>
    </w:p>
    <w:p>
      <w:r>
        <w:rPr>
          <w:color w:val="555555"/>
          <w:sz w:val="17"/>
        </w:rPr>
        <w:t xml:space="preserve">Zitiervorschlag: § 4 SPrüfV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https://recht.nulegal.eu/gesetze/SPr%C3%BCfV/4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