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SPrüfV (Bayern) — Ordnungswidrigkeiten</w:t>
      </w:r>
    </w:p>
    <w:p>
      <w:r>
        <w:rPr>
          <w:color w:val="555555"/>
          <w:sz w:val="18"/>
        </w:rPr>
        <w:t xml:space="preserve">Sicherheitsanlagen-Prüfverordnung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Ordnungswidrig im Sinn des Art. 79 Abs. 1 Satz 1 Nr. 1 BayBO handelt, wer vorsätzlich oder fahrlässig</w:t>
      </w:r>
    </w:p>
    <w:p>
      <w:r>
        <w:t xml:space="preserve">1. entgegen den § 2 die vorgeschriebenen Prüfungen nicht oder nicht rechtzeitig durchführen,</w:t>
      </w:r>
    </w:p>
    <w:p>
      <w:r>
        <w:t xml:space="preserve">2. entgegen § 2 Abs. 6 bei der Prüfung festgestellte Mängel nicht unverzüglich beseitigt oder beseitigen lässt.</w:t>
      </w:r>
    </w:p>
    <w:p>
      <w:r>
        <w:rPr>
          <w:color w:val="555555"/>
          <w:sz w:val="17"/>
        </w:rPr>
        <w:t xml:space="preserve">Zitiervorschlag: § 3 SPrüfV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https://recht.nulegal.eu/gesetze/SPr%C3%BCfV/3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