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SPrüfV (Bayern) — Anwendungsbereich</w:t>
      </w:r>
    </w:p>
    <w:p>
      <w:r>
        <w:rPr>
          <w:color w:val="555555"/>
          <w:sz w:val="18"/>
        </w:rPr>
        <w:t xml:space="preserve">Sicherheitsanlagen-Prüfverordnung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gilt für die Prüfung sicherheitstechnischer Anlagen und Einrichtungen in Sonderbauten (Art. 2 Abs. 4 BayBO) und in Mittel- und Großgaragen (§ 1 Abs. 7 Satz 1 Nrn. 2 und 3 GaStellV), wenn diese Anlagen und Einrichtungen</w:t>
      </w:r>
    </w:p>
    <w:p>
      <w:r>
        <w:t xml:space="preserve">1. auf Grund einer Verordnung gemäß Art. 80 Abs. 1 Satz 1 Nrn. 3 und 4 BayBO erforderlich oder</w:t>
      </w:r>
    </w:p>
    <w:p>
      <w:r>
        <w:t xml:space="preserve">2. im Einzelfall nach Art. 54 Abs. 3 Satz 1 Halbsatz 1 BayBO durch die Bauaufsichtsbehörden oder von einem Prüfsachverständigen für Brandschutz nach § 2 Abs. 2 der Verordnung über die Prüfingenieure, Prüfämter und Prüfsachverständigen im Bauwesen (PrüfVBau) gefordert oder</w:t>
      </w:r>
    </w:p>
    <w:p>
      <w:r>
        <w:t xml:space="preserve">3. Gegenstand eines nach Art. 62b Abs. 2 Satz 1 BayBO bauaufsichtlich geprüften oder durch einen Prüfsachverständigen für Brandschutz nach § 2 Abs. 2 PrüfVBau bescheinigten Brandschutznachweises sind.</w:t>
      </w:r>
    </w:p>
    <w:p>
      <w:r>
        <w:t xml:space="preserve">Im Übrigen bleibt Art. 54 Abs. 3 BayBO unberührt.</w:t>
      </w:r>
    </w:p>
    <w:p>
      <w:r>
        <w:t xml:space="preserve">(2) Abweichend von Abs. 1 Satz 1 sollen die Bauaufsichtsbehörden bei Industriebauten auf die Prüfungen nach § 2 verzichten, wenn die Wirksamkeit und Betriebssicherheit sicherheitstechnischer Anlagen und Einrichtungen auf andere Weise sichergestellt ist.</w:t>
      </w:r>
    </w:p>
    <w:p>
      <w:r>
        <w:rPr>
          <w:color w:val="555555"/>
          <w:sz w:val="17"/>
        </w:rPr>
        <w:t xml:space="preserve">Zitiervorschlag: § 1 SPrüfV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https://recht.nulegal.eu/gesetze/SPr%C3%BCfV/1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