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SPersAV</w:t>
      </w:r>
    </w:p>
    <w:p>
      <w:r>
        <w:rPr>
          <w:color w:val="555555"/>
          <w:sz w:val="18"/>
        </w:rPr>
        <w:t xml:space="preserve">Personalaktenverordnung Soldaten</w:t>
      </w:r>
    </w:p>
    <w:p>
      <w:r>
        <w:rPr>
          <w:color w:val="555555"/>
          <w:sz w:val="18"/>
        </w:rPr>
        <w:t xml:space="preserve">Historische Fassung: Stand 10.06.2019 bis 14.09.2019. Dies ist nicht die aktuelle Fassung.</w:t>
      </w:r>
    </w:p>
    <w:p>
      <w:r>
        <w:t xml:space="preserve">Auf Grund des § 29 Abs. 9 und des § 72 Abs. 2 Nr. 3 des Soldatengesetzes, die durch Artikel 5 Nr. 3 des Gesetzes vom 11. Juni 1992 (BGBl. I S. 1030) eingefügt worden sind, verordnet das Bundesministerium der Verteidigung:</w:t>
      </w:r>
    </w:p>
    <w:p>
      <w:r>
        <w:rPr>
          <w:color w:val="555555"/>
          <w:sz w:val="17"/>
        </w:rPr>
        <w:t xml:space="preserve">Zitiervorschlag: Eingangsformel SPersAV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https://recht.nulegal.eu/gesetze/SPersAV/eingangsformel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