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SPersAV</w:t>
      </w:r>
    </w:p>
    <w:p>
      <w:r>
        <w:rPr>
          <w:color w:val="555555"/>
          <w:sz w:val="18"/>
        </w:rPr>
        <w:t xml:space="preserve">Personalaktenverordnung Soldaten</w:t>
      </w:r>
    </w:p>
    <w:p>
      <w:r>
        <w:rPr>
          <w:color w:val="555555"/>
          <w:sz w:val="18"/>
        </w:rPr>
        <w:t xml:space="preserve">Historische Fassung: Stand 10.06.2019 bis 14.09.2019. Dies ist nicht die aktuelle Fassung.</w:t>
      </w:r>
    </w:p>
    <w:p>
      <w:r>
        <w:t xml:space="preserve">(1) Personalakten dürfen nur für Zwecke der Personalführung, der Personalbearbeitung oder der Personalwirtschaft automatisiert verarbeitet werden. Ihre Übermittlung ist, soweit keine andere Rechtsvorschrift dies gestattet, nur nach Maßgabe des § 29 Abs. 3 und 4 des Soldatengesetzes und dieser Verordnung zulässig. Die Löschungsfristen richten sich nach § 5.</w:t>
      </w:r>
    </w:p>
    <w:p>
      <w:r>
        <w:t xml:space="preserve">(2) Personalaktendaten im Sinne des § 4 Abs. 1 und 4 in Gesundheitsunterlagen und Beihilfeakten dürfen nur im Rahmen ihrer Zweckbestimmung und nur von den übrigen Personaldateien technisch und organisatorisch getrennt und in dem jeweiligen Dienst automatisiert verarbeitet werden. Absatz 1 Satz 3 gilt entsprechend.</w:t>
      </w:r>
    </w:p>
    <w:p>
      <w:r>
        <w:t xml:space="preserve">(3) Entscheidungen im Rahmen des Wehrdienstverhältnisses dürfen nicht ausschließlich auf eine automatisierte Verarbeitung personenbezogener Daten gestützt werden, die der Bewertung einzelner Persönlichkeitsmerkmale dienen.</w:t>
      </w:r>
    </w:p>
    <w:p>
      <w:r>
        <w:t xml:space="preserve">(4) Bei erstmaliger Speicherung ist dem Betroffenen die Art der über ihn gespeicherten Daten mitzuteilen, bei wesentlichen Änderungen ist er in derselben Weise zu benachrichtigen. Die Verarbeitungs- und Nutzungsformen automatisierter Personalverwaltungsverfahren sind zu dokumentieren und einschließlich des jeweiligen Verwendungszwecks sowie der regelmäßigen Empfänger und des Inhalts automatisierter Datenübermittlung allgemein bekanntzugeben.</w:t>
      </w:r>
    </w:p>
    <w:p>
      <w:r>
        <w:rPr>
          <w:color w:val="555555"/>
          <w:sz w:val="17"/>
        </w:rPr>
        <w:t xml:space="preserve">Zitiervorschlag: § 7 SPersAV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https://recht.nulegal.eu/gesetze/SPersAV/7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