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SPersAV</w:t>
      </w:r>
    </w:p>
    <w:p>
      <w:r>
        <w:rPr>
          <w:color w:val="555555"/>
          <w:sz w:val="18"/>
        </w:rPr>
        <w:t xml:space="preserve">Personalaktenverordnung Soldaten</w:t>
      </w:r>
    </w:p>
    <w:p>
      <w:r>
        <w:rPr>
          <w:color w:val="555555"/>
          <w:sz w:val="18"/>
        </w:rPr>
        <w:t xml:space="preserve">Historische Fassung: Stand 10.06.2019 bis 14.09.2019. Dies ist nicht die aktuelle Fassung.</w:t>
      </w:r>
    </w:p>
    <w:p>
      <w:r>
        <w:t xml:space="preserve">Mitteilungen in Strafsachen, soweit sie nicht Bestandteil einer Disziplinarakte sind, sowie Auskünfte aus dem Bundeszentralregister sind mit Zustimmung des Soldaten nach zwei Jahren aus der Personalakte zu entfernen und zu vernichten. Die Frist für die Entfernung wird regelmäßig durch Einleitung eines weiteren Straf- oder Disziplinarverfahrens unterbrochen. Stellt sich der erneute Vorwurf als unbegründet oder als falsch heraus, gilt die Frist als nicht unterbrochen. Die Auskunft aus dem Bundeszentralregister über ehemalige Soldaten ist zu vernichten, wenn der damit beabsichtigte Zweck erfüllt ist.</w:t>
      </w:r>
    </w:p>
    <w:p>
      <w:r>
        <w:rPr>
          <w:color w:val="555555"/>
          <w:sz w:val="17"/>
        </w:rPr>
        <w:t xml:space="preserve">Zitiervorschlag: § 6 SPersAV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https://recht.nulegal.eu/gesetze/SPersAV/6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