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SPersAV</w:t>
      </w:r>
    </w:p>
    <w:p>
      <w:r>
        <w:rPr>
          <w:color w:val="555555"/>
          <w:sz w:val="18"/>
        </w:rPr>
        <w:t xml:space="preserve">Personalaktenverordnung Soldaten</w:t>
      </w:r>
    </w:p>
    <w:p>
      <w:r>
        <w:rPr>
          <w:color w:val="555555"/>
          <w:sz w:val="18"/>
        </w:rPr>
        <w:t xml:space="preserve">Historische Fassung: Stand 10.06.2019 bis 14.09.2019. Dies ist nicht die aktuelle Fassung.</w:t>
      </w:r>
    </w:p>
    <w:p>
      <w:r>
        <w:t xml:space="preserve">(1) Die Gesundheitsunterlagen der Soldaten und ehemaligen Soldaten dienen der personenbezogenen Dokumentation ärztlicher Aufzeichnungen über Untersuchung, Behandlung und Begutachtung. Sie sind während des Wehrdienstverhältnisses stets als Teilakte zu führen und von der übrigen Personalakte getrennt aufzubewahren.</w:t>
      </w:r>
    </w:p>
    <w:p>
      <w:r>
        <w:t xml:space="preserve">(2) Während des Wehrdienstverhältnisses sind die Gesundheitsunterlagen vom zuständigen Truppenarzt zu führen. Zugang darf nur das fachlich zuständige Sanitätspersonal und das diesem fachaufsichtlich vorgesetzte Sanitätspersonal im Rahmen seiner Aufgabenerfüllung haben.</w:t>
      </w:r>
    </w:p>
    <w:p>
      <w:r>
        <w:t xml:space="preserve">(3) Über die Ergebnisse truppenärztlicher Untersuchungen zur Feststellung der Verwendungs- oder Dienstfähigkeit, einschließlich der aus diesem Anlaß durchgeführten fachärztlichen Zusatzuntersuchungen, hat der die personalbearbeitende Stelle beratende Arzt in dem Maße Auskunft zu erteilen, wie es für die von dieser Stelle zu treffende Entscheidung erforderlich ist. Entsprechendes gilt für ärztliche Dienstfähigkeits- und Tauglichkeitsbeurteilungen durch das Kreiswehrersatzamt.</w:t>
      </w:r>
    </w:p>
    <w:p>
      <w:r>
        <w:t xml:space="preserve">(4) Unterlagen über Beihilfen für Soldaten sind als Teilakte zu führen. Diese ist von der übrigen Personalakte getrennt aufzubewahren. Sie wird in einer von der übrigen Personalverwaltung getrennten Organisationseinheit bearbeitet. Zugang sollen nur Beschäftigte der für die Bearbeitung zuständigen Organisationseinheit haben. Die Beihilfeakte darf für andere als für Beihilfezwecke nur genutzt oder weitergegeben werden, wenn der Beihilfeberechtigte und bei der Beihilfegewährung berücksichtigte Angehörige im Einzelfall einwilligen, die Einleitung oder Durchführung eines im Zusammenhang mit einem Beihilfeantrag stehenden behördlichen oder gerichtlichen Verfahrens dies erfordert oder soweit es zur Abwehr erheblicher Nachteile für das Gemeinwohl, einer sonst unmittelbar drohenden Gefahr für die öffentliche Sicherheit oder einer schwerwiegenden Beeinträchtigung der Rechte einer anderen Person erforderlich ist. Die Sätze 1 bis 5 gelten entsprechend für Unterlagen über Heilfürsorge und Heilverfahren.</w:t>
      </w:r>
    </w:p>
    <w:p>
      <w:r>
        <w:t xml:space="preserve">(5) Abweichend von Absatz 4 Satz 5 dürfen personenbezogene Daten aus der Beihilfeakte auch ohne Einwilligung der Betroffenen genutzt oder an eine andere Behörde weitergegeben werden, soweit sie für die Festsetzung und Berechnung der Besoldung oder Versorgung oder für die Prüfung der Kindergeldberechtigung erforderlich sind. Dies gilt auch für Daten aus der Besoldungsakte und der Versorgungsakte, soweit sie für die Festsetzung und Berechnung der Beihilfe erforderlich sind.</w:t>
      </w:r>
    </w:p>
    <w:p>
      <w:r>
        <w:t xml:space="preserve">(6) Die Beihilfebearbeitung und die Führung der Beihilfeakte können mit Zustimmung des Bundesministeriums der Verteidigung auf eine andere Stelle des Bundes übertragen werden. Dieser Stelle dürfen personenbezogene Daten, einschließlich Gesundheitsangaben, übermittelt werden, soweit deren Kenntnis für die Beihilfebearbeitung erforderlich ist. Die Absätze 4 und 5 finden für diese Stelle Anwendung.</w:t>
      </w:r>
    </w:p>
    <w:p>
      <w:r>
        <w:rPr>
          <w:color w:val="555555"/>
          <w:sz w:val="17"/>
        </w:rPr>
        <w:t xml:space="preserve">Zitiervorschlag: § 4 SPersAV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https://recht.nulegal.eu/gesetze/SPersAV/4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