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(1) Die Personalakte kann nach sachlichen Gesichtspunkten in Grundakte und Teilakten gegliedert werden. Teilakten können bei der für den betreffenden Aufgabenbereich zuständigen Dienststelle geführt werden.</w:t>
      </w:r>
    </w:p>
    <w:p>
      <w:r>
        <w:t xml:space="preserve">(2) Nebenakten dürfen nur geführt werden, soweit dies zur rechtmäßigen Aufgabenerledigung im Rahmen der Personalführung und Personalbearbeitung sowie der Personalwirtschaft der dafür zuständigen Dienststelle des Soldaten erforderlich ist. Die Nebenakten dürfen nur solche Unterlagen enthalten, die auch in der Grundakte oder in den Teilakten enthalten sind und deren Kenntnis zur rechtmäßigen Aufgabenerledigung der betreffenden Dienststelle erforderlich ist.</w:t>
      </w:r>
    </w:p>
    <w:p>
      <w:r>
        <w:t xml:space="preserve">(3) In die Grundakte ist ein vollständiges Verzeichnis aller Teil- und Nebenakten aufzunehmen.</w:t>
      </w:r>
    </w:p>
    <w:p>
      <w:r>
        <w:t xml:space="preserve">(4) Wird die Personalakte nicht vollständig in Schriftform oder vollständig automatisiert geführt, legt die personalverwaltende Stelle jeweils schriftlich fest, welche Teile in welcher Form geführt werden, und nimmt dies in das Verzeichnis nach Absatz 3 auf.</w:t>
      </w:r>
    </w:p>
    <w:p>
      <w:r>
        <w:t xml:space="preserve">(5) Akten der Beschädigtenversorgung nach dem Soldatenversorgungsgesetz sind Sachakten, die nicht zu den Personalakten gehören.</w:t>
      </w:r>
    </w:p>
    <w:p>
      <w:r>
        <w:rPr>
          <w:color w:val="555555"/>
          <w:sz w:val="17"/>
        </w:rPr>
        <w:t xml:space="preserve">Zitiervorschlag: § 2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