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SPersAV</w:t>
      </w:r>
    </w:p>
    <w:p>
      <w:r>
        <w:rPr>
          <w:color w:val="555555"/>
          <w:sz w:val="18"/>
        </w:rPr>
        <w:t xml:space="preserve">Personalaktenverordnung Soldaten</w:t>
      </w:r>
    </w:p>
    <w:p>
      <w:r>
        <w:rPr>
          <w:color w:val="555555"/>
          <w:sz w:val="18"/>
        </w:rPr>
        <w:t xml:space="preserve">Historische Fassung: Stand 10.06.2019 bis 14.09.2019. Dies ist nicht die aktuelle Fassung.</w:t>
      </w:r>
    </w:p>
    <w:p>
      <w:r>
        <w:t xml:space="preserve">Diese Verordnung regelt gemäß § 29 Abs. 9 des Soldatengesetzes und in Anlehnung an §§ 106 bis 114 des Bundesbeamtengesetzes Einzelheiten zum Personalaktenrecht der Soldaten. Sie gilt für die Personalakten der Bewerber für das Dienstverhältnis eines Berufssoldaten oder Soldaten auf Zeit, der Soldaten sowie der ehemaligen Soldaten.</w:t>
      </w:r>
    </w:p>
    <w:p>
      <w:r>
        <w:rPr>
          <w:color w:val="555555"/>
          <w:sz w:val="17"/>
        </w:rPr>
        <w:t xml:space="preserve">Zitiervorschlag: § 1 SPersAV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https://recht.nulegal.eu/gesetze/SPersAV/1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