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Anlagen SPV — (Übersicht)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Anlage 1    Sonderungsplan für unvermessenes Eigentum</w:t>
      </w:r>
    </w:p>
    <w:p>
      <w:r>
        <w:rPr>
          <w:rFonts w:ascii="Courier New" w:hAnsi="Courier New"/>
          <w:sz w:val="17"/>
        </w:rPr>
        <w:t xml:space="preserve">Anlage 2    Sonderungsplan für unvermessene Nutzungsrechte und Gebäudeeigentum ohne Nutzungsrecht</w:t>
      </w:r>
    </w:p>
    <w:p>
      <w:r>
        <w:rPr>
          <w:rFonts w:ascii="Courier New" w:hAnsi="Courier New"/>
          <w:sz w:val="17"/>
        </w:rPr>
        <w:t xml:space="preserve">Anlage 3    Sonderungsplan für unvermessene Nutzungsrechte in Verbindung mit Sachenrechtsbereinigung</w:t>
      </w:r>
    </w:p>
    <w:p>
      <w:r>
        <w:rPr>
          <w:rFonts w:ascii="Courier New" w:hAnsi="Courier New"/>
          <w:sz w:val="17"/>
        </w:rPr>
        <w:t xml:space="preserve">Anlage 4    Sonderungsplan für ergänzende Bodenneuordnung</w:t>
      </w:r>
    </w:p>
    <w:p>
      <w:r>
        <w:rPr>
          <w:rFonts w:ascii="Courier New" w:hAnsi="Courier New"/>
          <w:sz w:val="17"/>
        </w:rPr>
        <w:t xml:space="preserve">Anlage 5    Sonderungsplan für eine komplexe Bodenneuordnung</w:t>
      </w:r>
    </w:p>
    <w:p>
      <w:r>
        <w:rPr>
          <w:rFonts w:ascii="Courier New" w:hAnsi="Courier New"/>
          <w:sz w:val="17"/>
        </w:rPr>
        <w:t xml:space="preserve">Anlage 6    Sonderungsplan für eine komplexe Bodenneuordnung in Verbindung mit unvermessenem Eigentum</w:t>
      </w:r>
    </w:p>
    <w:p>
      <w:r>
        <w:rPr>
          <w:rFonts w:ascii="Courier New" w:hAnsi="Courier New"/>
          <w:sz w:val="17"/>
        </w:rPr>
        <w:t xml:space="preserve">Anlage 7    Lastenverzeichnis</w:t>
      </w:r>
    </w:p>
    <w:p>
      <w:r>
        <w:rPr>
          <w:color w:val="555555"/>
          <w:sz w:val="17"/>
        </w:rPr>
        <w:t xml:space="preserve">Zitiervorschlag: Anlagen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https://recht.nulegal.eu/gesetze/SPV/anlagen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Anlagen SPV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