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SPV — Grundbuchvollzug</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Nach Auslegung des Sonderungsbescheids wartet die Sonderungsbehörde ab, bis der Sonderungsbescheid ganz oder teilweise bestandskräftig wird.</w:t>
      </w:r>
    </w:p>
    <w:p>
      <w:r>
        <w:t xml:space="preserve">(2) Wird der Sonderungsbescheid in vollem Umfang bestandskräftig, so wird dem Grundbuchamt eine beglaubigte Abschrift des Sonderungsbescheids zugeleitet. Dieses berichtigt dann die Grundbücher von Amts wegen entsprechend den Festlegungen des Sonderungsbescheids.</w:t>
      </w:r>
    </w:p>
    <w:p>
      <w:r>
        <w:t xml:space="preserve">(3) Wird der Sonderungsbescheid nur teilweise bestandskräftig, so erhält das Grundbuchamt eine beglaubigte Abschrift, aus welcher der Umfang der Bestandskraft hervorgeht. Das Grundbuchamt berichtigt dann von Amts wegen insoweit die Grundbücher. Wird ein gebuchtes Flurstück nur teilweise bestandskräftig neu geordnet, so sind für die in Bestandskraft erwachsenen Teile neue Grundbuchblätter anzulegen und bei dem in dem bisherigen Grundbuchblatt gebuchten Grundstück in der zweiten Abteilung ein Widerspruch gegen die Richtigkeit der Buchung dieses Grundstücks einzutragen; der Eintragung eines Begünstigten bedarf es hierbei nicht.</w:t>
      </w:r>
    </w:p>
    <w:p>
      <w:r>
        <w:t xml:space="preserve">(4) Ein etwaiges Gemeinschaftsverhältnis ist entsprechend den Angaben in dem Bescheid in das Grundbuch einzutragen. Weist der Bescheid Eheleute als dinglich Berechtigte an einem Grundstück, Gebäude oder an einem sonstigen in das Grundbuch einzutragenden Recht aus, so gilt, wenn nicht der Bescheid ausdrücklich etwas anderes besagt, Artikel 234 § 4a Abs. 3 des Einführungsgesetzes zum Bürgerlichen Gesetzbuche sinngemäß.</w:t>
      </w:r>
    </w:p>
    <w:p>
      <w:r>
        <w:t xml:space="preserve">(5) Eine steuerliche Unbedenklichkeitsbescheinigung, Teilungsgenehmigungen, Grundstücksverkehrsgenehmigungen und sonstige für Eintragungen in das Grundbuch erforderliche Genehmigungen, Erlaubnisse und Zustimmungen sind nicht beizubringen. Die Eintragung des Eigentümers eines Grundstücks oder Gebäudes oder eines Erbbauberechtigten ist dem Finanzamt, in dessen Bezirk das Grundstück oder Gebäude liegt, mitzuteilen.</w:t>
      </w:r>
    </w:p>
    <w:p>
      <w:r>
        <w:rPr>
          <w:color w:val="555555"/>
          <w:sz w:val="17"/>
        </w:rPr>
        <w:t xml:space="preserve">Zitiervorschlag: § 7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