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SPV — Entschädigungs- und Ausgleichsliste, unübersichtliche Belastungsverhältnisse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der ergänzenden oder komplexen Bodenneuordnung umfaßt der Bescheid unbeschadet des § 15 Abs. 6 des Bodensonderungsgesetzes auch eine Entschädigungs- und Ausgleichsliste.</w:t>
      </w:r>
    </w:p>
    <w:p>
      <w:r>
        <w:t xml:space="preserve">(2) In den Fällen des Absatzes 1 sind, wenn Verwirrung zu besorgen ist, eingetragene beschränkte dingliche Rechte entweder gegen Entschädigung oder unter Begründung entsprechender neuer Rechte an einem oder mehreren der neu gebildeten Grundstücke aufzuheben.</w:t>
      </w:r>
    </w:p>
    <w:p>
      <w:r>
        <w:rPr>
          <w:color w:val="555555"/>
          <w:sz w:val="17"/>
        </w:rPr>
        <w:t xml:space="preserve">Zitiervorschlag: § 5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