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SPV — Gestaltung der Grundstückskarte</w:t>
      </w:r>
    </w:p>
    <w:p>
      <w:r>
        <w:rPr>
          <w:color w:val="555555"/>
          <w:sz w:val="18"/>
        </w:rPr>
        <w:t xml:space="preserve">Sonderungsplanverordnung</w:t>
      </w:r>
    </w:p>
    <w:p>
      <w:r>
        <w:rPr>
          <w:color w:val="555555"/>
          <w:sz w:val="18"/>
        </w:rPr>
        <w:t xml:space="preserve">Stand: 10.06.2019 (konsolidierte Textfassung, kein amtliches Inkrafttretensdatum)</w:t>
      </w:r>
    </w:p>
    <w:p>
      <w:r>
        <w:t xml:space="preserve">(1) In der Grundstückskarte sind die Grenze des Plangebietes sowie Grenzen und Bezeichnungen der Flurstücke nach den Vorschriften zur Führung des Liegenschaftskatasters entsprechend den Anforderungen des § 8 Abs. 2 Satz 1 des Bodensonderungsgesetzes grafisch darzustellen. Die zur Festlegung der Grenzen erforderlichen topographischen Gegenstände sind darzustellen. Wenn in dem Sonderungsbescheid auch bestimmt werden soll, auf welche Flächen sich unvermessene Nutzungsrechte (§ 1 Nr. 1 des Bodensonderungsgesetzes) erstrecken oder auf welchen Flächen sich Gebäudeeigentum nach Artikel 233 § 2b des Einführungsgesetzes zum Bürgerlichen Gesetzbuche befindet, so ist das vorhandene Gebäude nebst der Fläche, auf der das Nutzungsrecht ausgeübt werden darf, bei Gebäudeeigentum ohne Nutzungsrecht nebst der Funktionsfläche, darzustellen.</w:t>
      </w:r>
    </w:p>
    <w:p>
      <w:r>
        <w:t xml:space="preserve">(2) Beschränkte dingliche Rechte an Grundstücken sollen im übrigen nur dargestellt werden, wenn sie aus dem Grundbuch ersichtlich sind und ihre Darstellung in der Karte zweckmäßig erscheint. Sie müssen dargestellt werden, wenn sie im Zuge der Bodensonderung begründet oder geändert werden oder wenn das Grundstück, auf dem ein Recht lastet, verändert wird.</w:t>
      </w:r>
    </w:p>
    <w:p>
      <w:r>
        <w:t xml:space="preserve">(3) In den Fällen der ergänzenden Bodenneuordnung ist in der Grundstückskarte kenntlich zu machen, welcher Teil der Karte Gegenstand des Sonderungsbescheids ist.</w:t>
      </w:r>
    </w:p>
    <w:p>
      <w:r>
        <w:t xml:space="preserve">(4) Ist der bisherige Grundstücksbestand in der Grundstückskarte nicht übersichtlich darstellbar, so kann dieser Teil der Grundstückskarte in einer gesonderten Bestandskarte dargestellt werden.</w:t>
      </w:r>
    </w:p>
    <w:p>
      <w:r>
        <w:rPr>
          <w:color w:val="555555"/>
          <w:sz w:val="17"/>
        </w:rPr>
        <w:t xml:space="preserve">Zitiervorschlag: § 3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