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SPV — Sonderung zur Sachenrechtsbereinigung</w:t>
      </w:r>
    </w:p>
    <w:p>
      <w:r>
        <w:rPr>
          <w:color w:val="555555"/>
          <w:sz w:val="18"/>
        </w:rPr>
        <w:t xml:space="preserve">Sonderungsplanverordnung</w:t>
      </w:r>
    </w:p>
    <w:p>
      <w:r>
        <w:rPr>
          <w:color w:val="555555"/>
          <w:sz w:val="18"/>
        </w:rPr>
        <w:t xml:space="preserve">Stand: 10.06.2019 (konsolidierte Textfassung, kein amtliches Inkrafttretensdatum)</w:t>
      </w:r>
    </w:p>
    <w:p>
      <w:r>
        <w:t xml:space="preserve">(1) Wird zur Durchführung der Sachenrechtsbereinigung eine Grundstücksfeststellung durch Sonderungsbescheid beantragt, so sind in der Grundstückskarte die Flächen, auf die sich die Ansprüche der Nutzer nach dem Sachenrechtsbereinigungsgesetz beziehen, unter Änderung des bisherigen Bestandes als Grundstücke darzustellen. In dem Sonderungsbescheid sind die Wirkungen des Bescheids davon abhängig zu machen, daß im Verfahren nach dem Sachenrechtsbereinigungsgesetz Verträge über den Ankauf der in dem Bescheid ausgewiesenen Grundstücke oder die Bestellung der dargestellten Erbbaurechte abgeschlossen werden und die zum Vollzug erforderlichen Anträge bei dem Grundbuchamt eingehen. Der Sonderungsbescheid ist dem Grundbuchamt erst nach Eintritt der in Satz 2 bezeichneten Voraussetzungen zuzuleiten. § 7 Abs. 5 gilt nicht.</w:t>
      </w:r>
    </w:p>
    <w:p>
      <w:r>
        <w:t xml:space="preserve">(2) Wird zur Durchführung der Sachenrechtsbereinigung eine Rechtsbegründung durch Sonderungsbescheid beantragt, so werden in dem Sonderungsplan die in dem Verfahren nach dem Sachenrechtsbereinigungsgesetz auf Grund des Planentwurfs bestimmten oder vereinbarten Grundstücke und Erbbaurechte dargestellt. In dem Sonderungsbescheid ist in diesem Fall zu bestimmen, daß sich die Grundstücksgrenzen mit der Bestandskraft des Bescheids in der darin dargestellten Weise ändern und die in der Grundstücksliste eingetragenen Rechte nach Maßgabe der zugrundeliegenden Verträge entstehen. Der Sonderungsbescheid ergeht in diesem Fall erst, wenn der Notar mitgeteilt hat oder sonst nachgewiesen worden ist, daß die vertraglichen Voraussetzungen für den Rechtserwerb eingetreten sind. Der Sonderungsbescheid ist dem Grundbuchamt erst nach Eintritt der in Satz 3 bezeichneten Voraussetzungen zuzuleiten. Auf Antrag des Notars berichtigt das Grundbuchamt die Grundbücher entsprechend dem Inhalt des Bescheids und den abgeschlossenen Verträgen.</w:t>
      </w:r>
    </w:p>
    <w:p>
      <w:r>
        <w:rPr>
          <w:color w:val="555555"/>
          <w:sz w:val="17"/>
        </w:rPr>
        <w:t xml:space="preserve">Zitiervorschlag: § 11 SPV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