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SPRINDFG — Regress</w:t>
      </w:r>
    </w:p>
    <w:p>
      <w:r>
        <w:rPr>
          <w:color w:val="555555"/>
          <w:sz w:val="18"/>
        </w:rPr>
        <w:t xml:space="preserve">SPRIND-Freiheitsgesetz</w:t>
      </w:r>
    </w:p>
    <w:p>
      <w:r>
        <w:rPr>
          <w:color w:val="555555"/>
          <w:sz w:val="18"/>
        </w:rPr>
        <w:t xml:space="preserve">Stand: 30.12.2023 (konsolidierte Textfassung, kein amtliches Inkrafttretensdatum)</w:t>
      </w:r>
    </w:p>
    <w:p>
      <w:r>
        <w:t xml:space="preserve">Die SPRIND hat den Bund von allen Ansprüchen Dritter wegen Schäden freizustellen, die von der SPRIND in Wahrnehmung der ihr übertragenen Förderaufgaben vorsätzlich oder fahrlässig verursacht werden.</w:t>
      </w:r>
    </w:p>
    <w:p>
      <w:r>
        <w:rPr>
          <w:color w:val="555555"/>
          <w:sz w:val="17"/>
        </w:rPr>
        <w:t xml:space="preserve">Zitiervorschlag: § 8 SPRINDFG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https://recht.nulegal.eu/gesetze/SPRINDFG/8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