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SPRINDFG — Evaluation</w:t>
      </w:r>
    </w:p>
    <w:p>
      <w:r>
        <w:rPr>
          <w:color w:val="555555"/>
          <w:sz w:val="18"/>
        </w:rPr>
        <w:t xml:space="preserve">SPRIND-Freiheitsgesetz</w:t>
      </w:r>
    </w:p>
    <w:p>
      <w:r>
        <w:rPr>
          <w:color w:val="555555"/>
          <w:sz w:val="18"/>
        </w:rPr>
        <w:t xml:space="preserve">Stand: 30.12.2023 (konsolidierte Textfassung, kein amtliches Inkrafttretensdatum)</w:t>
      </w:r>
    </w:p>
    <w:p>
      <w:r>
        <w:t xml:space="preserve">(1) Das Bundesministerium für Bildung und Forschung wird die Förderung von Sprunginnovationen durch die SPRIND bis Ende 2024 evaluieren.</w:t>
      </w:r>
    </w:p>
    <w:p>
      <w:r>
        <w:t xml:space="preserve">(2) In einer weiteren Evaluation, die bis zum 31. Januar 2026 vorgelegt werden soll, wird die Fachaufsicht gemäß § 2 Absatz 1 Gegenstand einer Effizienz- und Wirksamkeitskotrolle sein, auf deren Grundlage gesetzliche Änderungen geprüft werden.</w:t>
      </w:r>
    </w:p>
    <w:p>
      <w:r>
        <w:rPr>
          <w:color w:val="555555"/>
          <w:sz w:val="17"/>
        </w:rPr>
        <w:t xml:space="preserve">Zitiervorschlag: § 7 SPRINDFG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https://recht.nulegal.eu/gesetze/SPRINDFG/7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