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SPRINDFG — Prüfungsrechte des Bundesrechnungshofes</w:t>
      </w:r>
    </w:p>
    <w:p>
      <w:r>
        <w:rPr>
          <w:color w:val="555555"/>
          <w:sz w:val="18"/>
        </w:rPr>
        <w:t xml:space="preserve">SPRIND-Freiheitsgesetz</w:t>
      </w:r>
    </w:p>
    <w:p>
      <w:r>
        <w:rPr>
          <w:color w:val="555555"/>
          <w:sz w:val="18"/>
        </w:rPr>
        <w:t xml:space="preserve">Stand: 30.12.2023 (konsolidierte Textfassung, kein amtliches Inkrafttretensdatum)</w:t>
      </w:r>
    </w:p>
    <w:p>
      <w:r>
        <w:t xml:space="preserve">(1) Der Bundesrechnungshof hat die Befugnisse des § 54 des Haushaltsgrundsätzegesetzes.</w:t>
      </w:r>
    </w:p>
    <w:p>
      <w:r>
        <w:t xml:space="preserve">(2) Die SPRIND schließt mit dem Bundesrechnungshof eine Vereinbarung über die Prüfung der Haushalts- und Wirtschaftsführung gemäß § 104 Absatz 1 Nummer 3 der Bundeshaushaltsordnung.</w:t>
      </w:r>
    </w:p>
    <w:p>
      <w:r>
        <w:rPr>
          <w:color w:val="555555"/>
          <w:sz w:val="17"/>
        </w:rPr>
        <w:t xml:space="preserve">Zitiervorschlag: § 6 SPRINDFG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https://recht.nulegal.eu/gesetze/SPRINDFG/6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