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SPNVPlV (Brandenburg)</w:t>
      </w:r>
    </w:p>
    <w:p>
      <w:r>
        <w:rPr>
          <w:color w:val="555555"/>
          <w:sz w:val="18"/>
        </w:rPr>
        <w:t xml:space="preserve">SPNV-Planverordnung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Untersetzung des Nahverkehrsplanes für den</w:t>
      </w:r>
    </w:p>
    <w:p>
      <w:r>
        <w:t xml:space="preserve">Schienenpersonennahverkehr sowie zur Berücksichtigung bei der Aufstellung,</w:t>
      </w:r>
    </w:p>
    <w:p>
      <w:r>
        <w:t xml:space="preserve">Anpassung und Fortschreibung ihrer Nahverkehrspläne erhalten die</w:t>
      </w:r>
    </w:p>
    <w:p>
      <w:r>
        <w:t xml:space="preserve">Aufgabenträger für den übrigen öffentlichen</w:t>
      </w:r>
    </w:p>
    <w:p>
      <w:r>
        <w:t xml:space="preserve">Personennahverkehr jährlich aktualisierte Angaben über die</w:t>
      </w:r>
    </w:p>
    <w:p>
      <w:r>
        <w:t xml:space="preserve">Entwicklung des Schienenpersonennahverkehrs in ihrem Gebiet. Näheres wird</w:t>
      </w:r>
    </w:p>
    <w:p>
      <w:r>
        <w:t xml:space="preserve">durch die nach § 7 Abs. 7 des Gesetzes über den öffentlichen</w:t>
      </w:r>
    </w:p>
    <w:p>
      <w:r>
        <w:t xml:space="preserve">Personennahverkehr im Land Brandenburg (GVBl. I S. 252) zu erlassende</w:t>
      </w:r>
    </w:p>
    <w:p>
      <w:r>
        <w:t xml:space="preserve">Richtlinie über den Datenaustausch geregelt.</w:t>
      </w:r>
    </w:p>
    <w:p>
      <w:r>
        <w:rPr>
          <w:color w:val="555555"/>
          <w:sz w:val="17"/>
        </w:rPr>
        <w:t xml:space="preserve">Zitiervorschlag: § 3 SPNVPlV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https://recht.nulegal.eu/gesetze/SPNVPlV/3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