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SPNVPlV (Brandenburg)</w:t>
      </w:r>
    </w:p>
    <w:p>
      <w:r>
        <w:rPr>
          <w:color w:val="555555"/>
          <w:sz w:val="18"/>
        </w:rPr>
        <w:t xml:space="preserve">SPNV-Planverordnung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Nahverkehrsplan für den Schienenpersonennahverkehr</w:t>
      </w:r>
    </w:p>
    <w:p>
      <w:r>
        <w:t xml:space="preserve">ist gemäß § 8 Abs. 2 des Gesetzes über den</w:t>
      </w:r>
    </w:p>
    <w:p>
      <w:r>
        <w:t xml:space="preserve">öffentlichen Personennahverkehr im Land Brandenburg (GVBl. I S. 252) zu</w:t>
      </w:r>
    </w:p>
    <w:p>
      <w:r>
        <w:t xml:space="preserve">aktualisieren und fortzuschreiben.</w:t>
      </w:r>
    </w:p>
    <w:p>
      <w:r>
        <w:t xml:space="preserve">(2) Die erste Fortschreibung der Angaben über den</w:t>
      </w:r>
    </w:p>
    <w:p>
      <w:r>
        <w:t xml:space="preserve">Investitionsbedarf und die Entwicklung der Betriebskosten und das</w:t>
      </w:r>
    </w:p>
    <w:p>
      <w:r>
        <w:t xml:space="preserve">Finanzierungskonzept hat nach Anpassung der Finanzausstattung der</w:t>
      </w:r>
    </w:p>
    <w:p>
      <w:r>
        <w:t xml:space="preserve">Bundesländer gemäß § 6 des Regionalisierungsgesetzes vom</w:t>
      </w:r>
    </w:p>
    <w:p>
      <w:r>
        <w:t xml:space="preserve">27. Dezember 1993 (BGBl. I S. 2395) zu erfolgen.</w:t>
      </w:r>
    </w:p>
    <w:p>
      <w:r>
        <w:t xml:space="preserve">(3) Bei Veränderung planungsrelevanter Rahmenbedingungen</w:t>
      </w:r>
    </w:p>
    <w:p>
      <w:r>
        <w:t xml:space="preserve">kann in begründeten Fällen bei der Bestellung von Verkehrsleistungen</w:t>
      </w:r>
    </w:p>
    <w:p>
      <w:r>
        <w:t xml:space="preserve">vom Nahverkehrsplan für den Schienenpersonennahverkehr abgewichen werden.</w:t>
      </w:r>
    </w:p>
    <w:p>
      <w:r>
        <w:rPr>
          <w:color w:val="555555"/>
          <w:sz w:val="17"/>
        </w:rPr>
        <w:t xml:space="preserve">Zitiervorschlag: § 2 SPNVPlV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https://recht.nulegal.eu/gesetze/SPNVPlV/2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