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SPNVPlV (Brandenburg)</w:t>
      </w:r>
    </w:p>
    <w:p>
      <w:r>
        <w:rPr>
          <w:color w:val="555555"/>
          <w:sz w:val="18"/>
        </w:rPr>
        <w:t xml:space="preserve">SPNV-Planverordnung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Grundlage für die Entwicklung des</w:t>
      </w:r>
    </w:p>
    <w:p>
      <w:r>
        <w:t xml:space="preserve">Schienenpersonennahverkehrs und den Rahmen für eine landesweit</w:t>
      </w:r>
    </w:p>
    <w:p>
      <w:r>
        <w:t xml:space="preserve">koordinierte Verkehrsentwicklung des gesamten öffentlichen</w:t>
      </w:r>
    </w:p>
    <w:p>
      <w:r>
        <w:t xml:space="preserve">Personennahverkehrs bis zum Jahr 2002 bildet der Nahverkehrsplan für den</w:t>
      </w:r>
    </w:p>
    <w:p>
      <w:r>
        <w:t xml:space="preserve">Schienenpersonennahverkehr (Anlage).</w:t>
      </w:r>
    </w:p>
    <w:p>
      <w:r>
        <w:rPr>
          <w:color w:val="555555"/>
          <w:sz w:val="17"/>
        </w:rPr>
        <w:t xml:space="preserve">Zitiervorschlag: § 1 SPNVPlV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https://recht.nulegal.eu/gesetze/SPNVPlV/1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