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SOOSA (Sachsen) — Bewertung und Feststellung des Prüfungsergebnisses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Bewertung der Prüfungsleistungen gelten § 38 Absatz 1 Satz 1 und 2, Absatz 2 bis 4 sowie § 39 Absatz 2 Satz 2 entsprechend. Endnoten sind die Noten, die für die im Rahmen der Prüfungen erbrachten Leistungen erteilt wurden.</w:t>
      </w:r>
    </w:p>
    <w:p>
      <w:r>
        <w:t xml:space="preserve">(2) In Fächern, in denen</w:t>
      </w:r>
    </w:p>
    <w:p>
      <w:r>
        <w:t xml:space="preserve">1. eine schriftliche und eine mündliche oder zusätzliche mündliche Prüfung oder</w:t>
      </w:r>
    </w:p>
    <w:p>
      <w:r>
        <w:t xml:space="preserve">2. eine mündliche und eine zusätzliche mündliche Prüfung</w:t>
      </w:r>
    </w:p>
    <w:p>
      <w:r>
        <w:t xml:space="preserve">durchgeführt wurden, bildet der Fachausschuss die Endnote zu gleichen Teilen aus den Ergebnissen beider Prüfungen.</w:t>
      </w:r>
    </w:p>
    <w:p>
      <w:r>
        <w:rPr>
          <w:color w:val="555555"/>
          <w:sz w:val="17"/>
        </w:rPr>
        <w:t xml:space="preserve">Zitiervorschlag: § 86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https://recht.nulegal.eu/gesetze/SOOSA/86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