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85 SOOSA (Sachsen) — Durchführung der Prüfung</w:t>
      </w:r>
    </w:p>
    <w:p>
      <w:r>
        <w:rPr>
          <w:color w:val="555555"/>
          <w:sz w:val="18"/>
        </w:rPr>
        <w:t xml:space="preserve">Schulordnung Ober- und Abendoberschulen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Durchführung der Prüfung gelten die §§ 35, 36 Absatz 5 bis 7, § 37 Absatz 2 bis 5, §§ 41, 42 Absatz 1 Satz 1 bis 3 und § 44 entsprechend.</w:t>
      </w:r>
    </w:p>
    <w:p>
      <w:r>
        <w:rPr>
          <w:color w:val="555555"/>
          <w:sz w:val="17"/>
        </w:rPr>
        <w:t xml:space="preserve">Zitiervorschlag: § 85 SOOSA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https://recht.nulegal.eu/gesetze/SOOSA/85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