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64c SOOSA (Sachsen) — Anmeldung, Aufnahme und Bildungsberatung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Anmeldung und Aufnahme gelten § 5 Absatz 1 und 2 sowie 5 bis 8 der Schulordnung Gemeinschaftsschulen entsprechend. Insofern findet § 3 Absatz 1, 2, 5 und 7 der Schulordnung Grundschulen keine Anwendung.</w:t>
      </w:r>
    </w:p>
    <w:p>
      <w:r>
        <w:t xml:space="preserve">(2) Für die Bildungsberatung von Eltern, deren Kind nach der Klassenstufe 4 auf ein Gymnasium wechseln soll, gilt § 7 Absatz 4 der Schulordnung Gemeinschaftsschulen entsprechend. Insofern findet § 6 Absatz 3 der Schulordnung Grundschulen keine Anwendung.</w:t>
      </w:r>
    </w:p>
    <w:p>
      <w:r>
        <w:rPr>
          <w:color w:val="555555"/>
          <w:sz w:val="17"/>
        </w:rPr>
        <w:t xml:space="preserve">Zitiervorschlag: § 64c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https://recht.nulegal.eu/gesetze/SOOSA/64c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