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SOOSA (Sachsen) — Weitere Abweichungen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Abweichend von § 14 Absatz 1 Satz 1 und § 15 Absatz 2 kann der Unterricht aus wichtigem Grund auch am Sonnabend und in den Ferien erteilt werden.</w:t>
      </w:r>
    </w:p>
    <w:p>
      <w:r>
        <w:t xml:space="preserve">(2) Die Ausbildung im Fach Sport wird im Rahmen der tänzerischen Ausbildung absolviert. Abweichend von § 27 Absatz 1 findet keine Benotung statt.</w:t>
      </w:r>
    </w:p>
    <w:p>
      <w:r>
        <w:rPr>
          <w:color w:val="555555"/>
          <w:sz w:val="17"/>
        </w:rPr>
        <w:t xml:space="preserve">Zitiervorschlag: § 57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https://recht.nulegal.eu/gesetze/SOOSA/57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