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SOOSA (Sachsen) — Aufbau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besondere Bildungsweg teilt sich in die Orientierungsstufe in den Klassenstufen 5 und 6 und in die Nachwuchsförderstufe in den Klassenstufen 7 bis 10.</w:t>
      </w:r>
    </w:p>
    <w:p>
      <w:r>
        <w:t xml:space="preserve">(2) Abweichend von § 3 Absatz 1 lernen alle Schüler ab der Klassenstufe 7 im Realschulbildungsgang. Vorschriften dieser Verordnung, die die Differenzierung in Haupt- und Realschulbildungsgang betreffen, finden keine Anwendung.</w:t>
      </w:r>
    </w:p>
    <w:p>
      <w:r>
        <w:rPr>
          <w:color w:val="555555"/>
          <w:sz w:val="17"/>
        </w:rPr>
        <w:t xml:space="preserve">Zitiervorschlag: § 54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https://recht.nulegal.eu/gesetze/SOOSA/54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