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SOOSA (Sachsen) — Schulbesuch im Ausland</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Antrag der Eltern oder des volljährigen Schülers kann der Schulleiter genehmigen, dass ein Schüler, der in die nächsthöhere Klassenstufe versetzt wurde, für einen längstens einjährigen Schulbesuch im Ausland beurlaubt wird.</w:t>
      </w:r>
    </w:p>
    <w:p>
      <w:r>
        <w:t xml:space="preserve">(2) Nach Beendigung des Schulbesuchs im Ausland wird der Unterricht in der Klassenstufe fortgesetzt, in die der Schüler vor der Beurlaubung versetzt worden ist. Auf Antrag kann die Schulaufsichtsbehörde genehmigen, dass der Unterricht in der nächsthöheren Klassenstufe fortgesetzt wird, wenn eine Schule im Ausland mit vergleichbaren Lerninhalten regelmäßig besucht wurde und hierüber sowie über die dabei erzielten Leistungen eine Bestätigung der Schule vorgelegt wird.</w:t>
      </w:r>
    </w:p>
    <w:p>
      <w:r>
        <w:rPr>
          <w:color w:val="555555"/>
          <w:sz w:val="17"/>
        </w:rPr>
        <w:t xml:space="preserve">Zitiervorschlag: § 33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