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SOOSA (Sachsen) — Zusätzliche schulische Veranstaltungen</w:t>
      </w:r>
    </w:p>
    <w:p>
      <w:r>
        <w:rPr>
          <w:color w:val="555555"/>
          <w:sz w:val="18"/>
        </w:rPr>
        <w:t xml:space="preserve">Schulordnung Ober- und Abendoberschulen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Teilnahme an zusätzlichen schulischen Veranstaltungen ist freiwillig.</w:t>
      </w:r>
    </w:p>
    <w:p>
      <w:r>
        <w:rPr>
          <w:color w:val="555555"/>
          <w:sz w:val="17"/>
        </w:rPr>
        <w:t xml:space="preserve">Zitiervorschlag: § 20 SOOSA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https://recht.nulegal.eu/gesetze/SOOSA/20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