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SOOSA (Sachsen) — Übergangsregelungen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Schulen, die bereits vor dem 1. August 2018 eine vertiefte sportliche Ausbildung durchgeführt haben, gilt das Einvernehmen des Schulträgers gemäß § 2 Absatz 3 Satz 1 als erteilt.</w:t>
      </w:r>
    </w:p>
    <w:p>
      <w:r>
        <w:t xml:space="preserve">(2) Bei Schulen, die vor dem 1. August 2018 an dem als Schulversuch durchgeführten besonderen Bildungsangebot „Produktives Lernen im Freistaat Sachsen“ teilgenommen haben, gilt das Einvernehmen des Schulträgers gemäß § 2 Absatz 5 Satz 1 als erteilt.</w:t>
      </w:r>
    </w:p>
    <w:p>
      <w:r>
        <w:t xml:space="preserve">Dresden, den 11. Juli 2011</w:t>
      </w:r>
    </w:p>
    <w:p>
      <w:r>
        <w:t xml:space="preserve">Der Staatsminister für Kultus und Sport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§ 101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https://recht.nulegal.eu/gesetze/SOOSA/101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