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SOGYA (Sachsen) — Äußere Form, Sprachrichtigkeit und Ausdruck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Bewertung einer Klassenarbeit oder Klausur und einer Komplexen Leistung werden schwerwiegende Mängel in der äußeren Form bei der Notengebung berücksichtigt. Dies ist bei der Benotung zu vermerken.</w:t>
      </w:r>
    </w:p>
    <w:p>
      <w:r>
        <w:t xml:space="preserve">(2) Ebenso werden schwerwiegende Verstöße gegen die Sprachrichtigkeit sowie schwerwiegende Ausdrucksmängel in allen Unterrichtsfächern bei der Notengebung berücksichtigt. Verstöße gegen die Sprachrichtigkeit und Ausdrucksmängel werden in allen schriftlichen Arbeiten gekennzeichnet.</w:t>
      </w:r>
    </w:p>
    <w:p>
      <w:r>
        <w:rPr>
          <w:color w:val="555555"/>
          <w:sz w:val="17"/>
        </w:rPr>
        <w:t xml:space="preserve">Zitiervorschlag: § 28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