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SOGYA (Sachsen) — Arbeitsgemeinschaften, Ganztagsangebote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Schulleiterin oder der Schulleiter kann klassen- und jahrgangsübergreifende Arbeitsgemeinschaften einrichten. In Arbeitsgemeinschaften erfolgt keine Leistungsbewertung. Die Schülerinnen und Schüler verpflichten sich mit ihrer Teilnahmeerklärung, an den Arbeitsgemeinschaften in der Regel mindestens für 1 Schulhalbjahr teilzunehmen.</w:t>
      </w:r>
    </w:p>
    <w:p>
      <w:r>
        <w:t xml:space="preserve">(2) Für Ganztagsangebote gilt Absatz 1 Satz 2 und 3 entsprechend.</w:t>
      </w:r>
    </w:p>
    <w:p>
      <w:r>
        <w:rPr>
          <w:color w:val="555555"/>
          <w:sz w:val="17"/>
        </w:rPr>
        <w:t xml:space="preserve">Zitiervorschlag: § 20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