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SOGYA (Sachsen) — Einzelheiten zum Aufbau des Gymnasiums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Klassenstufen 5 und 6 haben orientierende Funktion. In den Klassenstufen 8 bis 10 werden besondere Profile gemäß § 7 Absatz 3 des Sächsischen Schulgesetzes eingerichtet (Profile).</w:t>
      </w:r>
    </w:p>
    <w:p>
      <w:r>
        <w:t xml:space="preserve">(2) Die Jahrgangsstufen 11 und 12 bilden die Qualifikationsphase der gymnasialen Oberstufe. Diese endet mit der Abiturprüfung.</w:t>
      </w:r>
    </w:p>
    <w:p>
      <w:r>
        <w:rPr>
          <w:color w:val="555555"/>
          <w:sz w:val="17"/>
        </w:rPr>
        <w:t xml:space="preserve">Zitiervorschlag: § 2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