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SOGYA (Sachsen) — Wahlpflichtbereich (Profile, dritte Fremdsprache)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Besuch des Unterrichts im Wahlpflichtbereich ist für alle Schülerinnen und Schüler verbindlich.</w:t>
      </w:r>
    </w:p>
    <w:p>
      <w:r>
        <w:t xml:space="preserve">(2) Im Wahlpflichtbereich bietet die Schule schulspezifische Profile an. Für Schülerinnen und Schüler, die ab der Klassenstufe 8 eine dritte Fremdsprache erlernen, tritt diese an die Stelle des schulspezifischen Profilunterrichts.</w:t>
      </w:r>
    </w:p>
    <w:p>
      <w:r>
        <w:t xml:space="preserve">(3) Ein gewähltes Profil kann in besonderen Fällen auf Antrag der Eltern mit Genehmigung der Schulleiterin oder des Schulleiters gewechselt werden.</w:t>
      </w:r>
    </w:p>
    <w:p>
      <w:r>
        <w:rPr>
          <w:color w:val="555555"/>
          <w:sz w:val="17"/>
        </w:rPr>
        <w:t xml:space="preserve">Zitiervorschlag: § 17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