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SOGS (Sachsen) — Inkrafttreten und Außerkrafttreten</w:t>
      </w:r>
    </w:p>
    <w:p>
      <w:r>
        <w:rPr>
          <w:color w:val="555555"/>
          <w:sz w:val="18"/>
        </w:rPr>
        <w:t xml:space="preserve">Schulordnung Grundschulen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mit Wirkung vom 1. August 2004 in Kraft, soweit in Absatz 2 Satz 1 nichts anderes bestimmt ist. Gleichzeitig tritt, soweit in Absatz 2 Satz 2 nichts anderes bestimmt ist, die Verordnung des Sächsischen Staatsministeriums für Kultus über Grundschulen im Freistaat Sachsen (Schulordnung Grundschulen – SOGS) vom 2. Mai 1994 (SächsGVBl. S. 1117), zuletzt geändert durch Artikel 1 der Verordnung vom 1. September 2000 (SächsGVBl. S. 417), außer Kraft.</w:t>
      </w:r>
    </w:p>
    <w:p>
      <w:r>
        <w:t xml:space="preserve">(2) § 15 Abs. 2 tritt am 1. August 2005 in Kraft. Gleichzeitig tritt § 15 Abs. 3 der Verordnung des Sächsischen Staatsministeriums für Kultus über Grundschulen im Freistaat Sachsen (Schulordnung Grundschulen – SOGS) vom 2. Mai 1994 (SächsGVBl. S. 1117), zuletzt geändert durch Artikel 1 der Verordnung vom 1. September 2000 (SächsGVBl. S. 417), außer Kraft.</w:t>
      </w:r>
    </w:p>
    <w:p>
      <w:r>
        <w:t xml:space="preserve">Dresden, den 3. August 2004</w:t>
      </w:r>
    </w:p>
    <w:p>
      <w:r>
        <w:t xml:space="preserve">Der Staatsminister für Kultus</w:t>
      </w:r>
    </w:p>
    <w:p>
      <w:r>
        <w:t xml:space="preserve">In Vertretung</w:t>
      </w:r>
    </w:p>
    <w:p>
      <w:r>
        <w:t xml:space="preserve">Günther Portune</w:t>
      </w:r>
    </w:p>
    <w:p>
      <w:r>
        <w:t xml:space="preserve">Staatssekretär</w:t>
      </w:r>
    </w:p>
    <w:p>
      <w:r>
        <w:rPr>
          <w:color w:val="555555"/>
          <w:sz w:val="17"/>
        </w:rPr>
        <w:t xml:space="preserve">Zitiervorschlag: § 28 SOGS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https://recht.nulegal.eu/gesetze/SOGS/28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