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SOGS (Sachsen) — Grundlagen der Leistungsbewertung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von der obersten Schulaufsichtsbehörde erlassenen Lehrpläne, Stundentafeln und die Bildungsstandards bilden die Grundlage für die Leistungsanforderungen.</w:t>
      </w:r>
    </w:p>
    <w:p>
      <w:r>
        <w:t xml:space="preserve">(2) Ermittlung und Bewertung von Leistungen liegen in der pädagogischen Verantwortung des Lehrers. Die Lehrerkonferenz beschließt die Bewertungsrichtlinien. Der Klassenlehrer gibt diese den Eltern zu Beginn des Schuljahres bekannt.</w:t>
      </w:r>
    </w:p>
    <w:p>
      <w:r>
        <w:t xml:space="preserve">(3) Die Ermittlung und Bewertung von Leistungen sollen auf der Grundlage der Analyse des Lernprozesses und der Lernergebnisse erfolgen.</w:t>
      </w:r>
    </w:p>
    <w:p>
      <w:r>
        <w:t xml:space="preserve">(4) Grundlage der Leistungsbewertung in einem Unterrichtsfach sind alle vom Schüler im Zusammenhang mit dem Unterricht erbrachten schriftlichen, mündlichen und praktischen Leistungen.</w:t>
      </w:r>
    </w:p>
    <w:p>
      <w:r>
        <w:t xml:space="preserve">(5) Für Schüler,</w:t>
      </w:r>
    </w:p>
    <w:p>
      <w:r>
        <w:t xml:space="preserve">1. bei denen sonderpädagogischer Förderbedarf festgestellt ist und die inklusiv unterrichtet werden,</w:t>
      </w:r>
    </w:p>
    <w:p>
      <w:r>
        <w:t xml:space="preserve">2. die im Sinne des § 2 Absatz 1 des Neunten Buches Sozialgesetzbuch vom 23. Dezember 2016 (BGBl. I S. 3234), das zuletzt durch Artikel 17 des Gesetzes vom 9. Juni 2021 (BGBl. I S. 1614) geändert worden ist, in der jeweils geltenden Fassung, behindert sind oder</w:t>
      </w:r>
    </w:p>
    <w:p>
      <w:r>
        <w:t xml:space="preserve">3. die eine festgestellte Teilleistungsschwäche aufweisen,</w:t>
      </w:r>
    </w:p>
    <w:p>
      <w:r>
        <w:t xml:space="preserve">legt der Fachlehrer im Einvernehmen mit dem Schulleiter und unter Berücksichtigung der jeweiligen Beeinträchtigung des Schülers Maßnahmen zur Organisation und Gestaltung der Leistungsermittlung fest, ohne die Leistungsanforderungen qualitativ zu verändern.</w:t>
      </w:r>
    </w:p>
    <w:p>
      <w:r>
        <w:t xml:space="preserve">(6) Für Schüler, die lernzielgleich inklusiv unterrichtet werden, richten sich Ermittlung und Bewertung von Leistungen, Betragen, Fleiß, Mitarbeit und Ordnung nach den allgemeinen Vorschriften dieser Verordnung. § 25 Absatz 6 der Schulordnung Förderschulen gilt entsprechend.</w:t>
      </w:r>
    </w:p>
    <w:p>
      <w:r>
        <w:t xml:space="preserve">(7) Soweit Schüler in Fächern nach dem Lehrplan der Schule mit dem Förderschwerpunkt Lernen lernzieldifferent inklusiv unterrichtet werden, richten sich Ermittlung und Bewertung der Leistungen in diesen Fächern nach § 25 Absatz 1 und 5 Satz 1 und 3 der Schulordnung Förderschulen . In den übrigen Fächern richten sich Ermittlung und Bewertung der Leistungen sowie die Benotung von Betragen, Fleiß, Mitarbeit und Ordnung nach den allgemeinen Vorschriften dieser Verordnung. § 25 Absatz 6 der Schulordnung Förderschulen gilt entsprechend.</w:t>
      </w:r>
    </w:p>
    <w:p>
      <w:r>
        <w:t xml:space="preserve">(8) Für Schüler, die nach den Lernbereichen des Lehrplans der Schule mit dem Förderschwerpunkt geistige Entwicklung lernzieldifferent inklusiv unterrichtet werden, richten sich Ermittlung und Bewertung der Leistungen nach § 25 Absatz 3 Satz 1 und Absatz 4 Nummer 1 der Schulordnung Förderschulen . Eine Benotung von Betragen, Fleiß, Mitarbeit und Ordnung erfolgt nicht.</w:t>
      </w:r>
    </w:p>
    <w:p>
      <w:r>
        <w:rPr>
          <w:color w:val="555555"/>
          <w:sz w:val="17"/>
        </w:rPr>
        <w:t xml:space="preserve">Zitiervorschlag: § 17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