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SOGS (Sachsen) — Pflichtunterricht, zusätzliche schulische Veranstaltungen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ist für alle Schüler verbindlich.</w:t>
      </w:r>
    </w:p>
    <w:p>
      <w:r>
        <w:t xml:space="preserve">(2) Die Anmeldung zur Teilnahme an zusätzlichen schulischen Veranstaltungen ist freiwillig. Für Schüler, deren Herkunftssprache nicht oder nicht ausschließlich Deutsch ist, kann die Schulaufsichtsbehörde an ausgewählten Schulen herkunftssprachlichen Unterricht anbieten.</w:t>
      </w:r>
    </w:p>
    <w:p>
      <w:r>
        <w:t xml:space="preserve">(3) Besucht der Schüler eine Arbeitsgemeinschaft, herkunftssprachlichen Unterricht oder Angebote des Intensiven Sprachenlernens, ist er in der Regel verpflichtet, mindestens für ein Schulhalbjahr daran teilzunehmen.</w:t>
      </w:r>
    </w:p>
    <w:p>
      <w:r>
        <w:rPr>
          <w:color w:val="555555"/>
          <w:sz w:val="17"/>
        </w:rPr>
        <w:t xml:space="preserve">Zitiervorschlag: § 13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