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SOGES (Sachsen) — Erwerb von Abschlüssen für inklusiv unterrichtete Schülerinnen und Schüler mit den Förderschwerpunkten Lernen und geistige Entwicklung</w:t>
      </w:r>
    </w:p>
    <w:p>
      <w:r>
        <w:rPr>
          <w:color w:val="555555"/>
          <w:sz w:val="18"/>
        </w:rPr>
        <w:t xml:space="preserve">Schulordnung Gemeinschaftsschulen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inklusiv unterrichtete Schülerinnen und Schüler mit dem Förderschwerpunkt Lernen gilt § 63 der Schulordnung Ober- und Abendoberschulen entsprechend. Die Schülerinnen und Schüler können auch einen dem Hauptschulabschluss gleichgestellten Abschluss ohne Teilnahme an einer Abschlussprüfung erwerben.</w:t>
      </w:r>
    </w:p>
    <w:p>
      <w:r>
        <w:t xml:space="preserve">(2) Inklusiv unterrichtete Schülerinnen und Schüler mit dem Förderschwerpunkt geistige Entwicklung erhalten am Ende des Abgangsjahres ein Zeugnis zur Schulentlassung, das einen Vermerk über die inklusive Unterrichtung an der Gemeinschaftsschule enthält.</w:t>
      </w:r>
    </w:p>
    <w:p>
      <w:r>
        <w:rPr>
          <w:color w:val="555555"/>
          <w:sz w:val="17"/>
        </w:rPr>
        <w:t xml:space="preserve">Zitiervorschlag: § 49 SOGES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https://recht.nulegal.eu/gesetze/SOGES/49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