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SOGES (Sachsen) — Formerfordernisse</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Halbjahresinformationen und Zeugnisse sind Vordrucke zu verwenden, die den von der obersten Schulaufsichtsbehörde veröffentlichten Mustern entsprechen.</w:t>
      </w:r>
    </w:p>
    <w:p>
      <w:r>
        <w:t xml:space="preserve">(2) Auf Jahreszeugnissen, Halbjahreszeugnissen und Abgangszeugnissen unterschreiben die Schulleiterin oder der Schulleiter und die Klassenlehrerin oder der Klassenlehrer, auf Halbjahresinformationen die Klassenlehrerin oder der Klassenlehrer. Auf Kurshalbjahreszeugnissen unterschreiben die Schulleiterin oder der Schulleiter und die Tutorin oder der Tutor. Auf Abschlusszeugnissen unterschreiben die oder der Vorsitzende des Prüfungsausschusses und zwei weitere Mitglieder des Prüfungsausschusses.</w:t>
      </w:r>
    </w:p>
    <w:p>
      <w:r>
        <w:t xml:space="preserve">(3) Bei Halbjahresinformationen, Halbjahreszeugnissen, Jahreszeugnissen und Kurshalbjahreszeugnissen bestätigen die Eltern die Kenntnisnahme durch ihre Unterschrift, soweit die Schülerin oder der Schüler minderjährig ist.</w:t>
      </w:r>
    </w:p>
    <w:p>
      <w:r>
        <w:rPr>
          <w:color w:val="555555"/>
          <w:sz w:val="17"/>
        </w:rPr>
        <w:t xml:space="preserve">Zitiervorschlag: § 38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