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35 SOGES (Sachsen) — Besonderheiten ab Klassenstufe 7</w:t>
      </w:r>
    </w:p>
    <w:p>
      <w:r>
        <w:rPr>
          <w:color w:val="555555"/>
          <w:sz w:val="18"/>
        </w:rPr>
        <w:t xml:space="preserve">Schulordnung Gemeinschaftsschulen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Beim Wechsel des Anforderungsniveaus ab Klassenstufe 7 oder beim Wechsel der Schulart enthält die Halbjahresinformation oder das Jahreszeugnis hierüber einen Vermerk.</w:t>
      </w:r>
    </w:p>
    <w:p>
      <w:r>
        <w:t xml:space="preserve">(2) In den Jahrgangsstufen 11 und 12 erhalten die Schülerinnen und Schüler für jedes Kurshalbjahr ein Zeugnis über die in den Leistungs- und Grundkursfächern erbrachten Leistungen (Kurshalbjahreszeugnis). Im Kurshalbjahreszeugnis wird auch das Thema einer Besonderen Lernleistung ausgewiesen.</w:t>
      </w:r>
    </w:p>
    <w:p>
      <w:r>
        <w:rPr>
          <w:color w:val="555555"/>
          <w:sz w:val="17"/>
        </w:rPr>
        <w:t xml:space="preserve">Zitiervorschlag: § 35 SOGES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https://recht.nulegal.eu/gesetze/SOGES/35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