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SOGES (Sachsen) — Zusätzliche schulische Veranstaltungen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Teilnahme an zusätzlichen schulischen Veranstaltungen ist freiwillig.</w:t>
      </w:r>
    </w:p>
    <w:p>
      <w:r>
        <w:t xml:space="preserve">(2) Die Schulleiterin oder der Schulleiter kann klassen- und jahrgangsübergreifende Arbeitsgemeinschaften einrichten. In diesen erfolgt keine Leistungsbewertung. Die Schülerinnen und Schüler verpflichten sich mit ihrer Teilnahmeerklärung, an den Arbeitsgemeinschaften mindestens für ein Schulhalbjahr teilzunehmen.</w:t>
      </w:r>
    </w:p>
    <w:p>
      <w:r>
        <w:t xml:space="preserve">(3) Für unterrichtsergänzende Förderangebote (Ganztagsangebote) gilt Absatz 2 Satz 2 und 3 entsprechend.</w:t>
      </w:r>
    </w:p>
    <w:p>
      <w:r>
        <w:rPr>
          <w:color w:val="555555"/>
          <w:sz w:val="17"/>
        </w:rPr>
        <w:t xml:space="preserve">Zitiervorschlag: § 18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