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SOGES (Sachsen) — Nutzung privater mobiler Endgeräte in der Primarstufe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Schülerinnen und Schülern der Klassenstufen 1 bis 8 ist die Nutzung von privaten mobilen Endgeräten in der Schule untersagt. Dies gilt nicht, wenn</w:t>
      </w:r>
    </w:p>
    <w:p>
      <w:r>
        <w:t xml:space="preserve">1. die Nutzung zum Schutz lebenswichtiger Interessen, behinderungsbedingt oder bei chronischen Krankheiten erforderlich ist,</w:t>
      </w:r>
    </w:p>
    <w:p>
      <w:r>
        <w:t xml:space="preserve">2. die Nutzung im Einzelfall von der Lehrkraft zugelassen wurde oder</w:t>
      </w:r>
    </w:p>
    <w:p>
      <w:r>
        <w:t xml:space="preserve">3. die Schulkonferenz Ausnahmen beschlossen hat.</w:t>
      </w:r>
    </w:p>
    <w:p>
      <w:r>
        <w:rPr>
          <w:color w:val="555555"/>
          <w:sz w:val="17"/>
        </w:rPr>
        <w:t xml:space="preserve">Zitiervorschlag: § 12a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https://recht.nulegal.eu/gesetze/SOGES/12a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