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SN-9940 (Sachsen) — Schutzzweck</w:t>
      </w:r>
    </w:p>
    <w:p>
      <w:r>
        <w:rPr>
          <w:color w:val="555555"/>
          <w:sz w:val="18"/>
        </w:rPr>
        <w:t xml:space="preserve">Verordnung der Landeshauptstadt Dresden zur Festsetzung des Landschaftsschutzgebietes „Dresdner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Erhaltung des zusammenhängenden Waldbestandes mit seinen Lichtungen, Waldsäumen und Gewässern und seinem einzigartigen Stadt- und Landschaftsbild, die Sicherung der Eigenart und Schönheit dieser zusammenhängenden Gebiete sowie ein nachhaltiger Biotop- und Artenschutz waldtypischer Lebens-, Migrationsstätten und Lebensgemeinschaften.</w:t>
      </w:r>
    </w:p>
    <w:p>
      <w:r>
        <w:t xml:space="preserve">(2) Teile des Gebietes sind Bestandteil eines zusammenhängenden europäischen ökologischen Netzes besonderer Schutzgebiete im Sinne der Richtlinie 92/43/EWG des Rates vom 21. Mai 1992 zur Erhaltung der natürlichen Lebensräume sowie der wildlebenden Tiere und Pflanzen (ABl. EG Nr. L 206 S. 7, 1996 Nr. L 59 S. 63), zuletzt geändert durch die Verordnung (EG) Nr. 1882/2003 des Europäischen Parlaments und des Rates vom 29. September 2003 (ABl. EU Nr. L 284 S. 1), in der jeweils geltenden Fassung.</w:t>
      </w:r>
    </w:p>
    <w:p>
      <w:r>
        <w:t xml:space="preserve">(3) Schutzzweck ist insbesondere</w:t>
      </w:r>
    </w:p>
    <w:p>
      <w:r>
        <w:t xml:space="preserve">die Erhaltung, Sicherung und Entwicklung des wertvollen naturnahen Landschaftsraumes mit seinem Strukturreichtum und seiner besonderen Bedeutung für Naherholung und Naturerlebnis;</w:t>
      </w:r>
    </w:p>
    <w:p>
      <w:r>
        <w:t xml:space="preserve">die Sicherung und Verbesserung der Kohärenzbedingungen des Schutzgebietssystems NATURA 2000 zu angrenzenden und benachbarten Lebensräumen und Lebensstätten, die nach der Fauna-Flora-Habitat-Richtlinie von gemeinschaftlicher Bedeutung sind;</w:t>
      </w:r>
    </w:p>
    <w:p>
      <w:r>
        <w:t xml:space="preserve">die störungsarme Erhaltung und die Entwicklung naturnaher wald-, offenland- und gewässertypischer Lebensstätten und Lebensgemeinschaften wildlebender Tiere und freiwachsender Pflanzen in ihrer naturraumtypischen Vielfalt, Größe, Verteilung und Verbindung;</w:t>
      </w:r>
    </w:p>
    <w:p>
      <w:r>
        <w:t xml:space="preserve">die Erhaltung und Entwicklung der ökologischen Strukturvielfalt als Grundlage einer hohen Leistungs- und Funktionsfähigkeit des Naturhaushaltes;</w:t>
      </w:r>
    </w:p>
    <w:p>
      <w:r>
        <w:t xml:space="preserve">der Schutz, die Bewahrung und die Entwicklung sowie Wiederherstellung eines dauerhaft günstigen Erhaltungszustandes der gebietseigenen Populationen seltener, gefährdeter oder in den Anhängen II oder IV der Richtlinie 92/43/EWG aufgenommener sowie sonstiger gesetzlich besonders geschützter Tier- und Pflanzenarten sowie ihrer für die Fortpflanzung, Ernährung, Migration, Durchzug und Überwinterung wichtigen Habitate;</w:t>
      </w:r>
    </w:p>
    <w:p>
      <w:r>
        <w:t xml:space="preserve">die Erhaltung und Entwicklung als zusammenhängende Waldfläche am Rande städtischer Verdichtungsräume zur nachhaltigen Sicherung des städtischen Klimas und zur lufthygienischen Entlastung;</w:t>
      </w:r>
    </w:p>
    <w:p>
      <w:r>
        <w:t xml:space="preserve">die Erhaltung von kulturhistorischen Elementen der Landschaftsentwicklung, insbesondere von Bodendenkmalen, historischen Wegeführungen und Brücken.</w:t>
      </w:r>
    </w:p>
    <w:p>
      <w:r>
        <w:rPr>
          <w:color w:val="555555"/>
          <w:sz w:val="17"/>
        </w:rPr>
        <w:t xml:space="preserve">Zitiervorschlag: § 3 SN-9940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https://recht.nulegal.eu/gesetze/SN-9940/3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