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SN-9759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„Rutschung P“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Grundsätze der Pflege und Entwicklung des Naturschutzgebietes sind,</w:t>
      </w:r>
    </w:p>
    <w:p>
      <w:r>
        <w:t xml:space="preserve">1. die Flächen in der Sonderschutzzone weiterhin ihrer natürlichen Sukzession zu überlassen und anthropogene Störungen weitestgehend auszuschließen;</w:t>
      </w:r>
    </w:p>
    <w:p>
      <w:r>
        <w:t xml:space="preserve">2. in Waldbeständen außerhalb der Sonderschutzzone durch gezielte Pflege naturnahe Waldbestände zu entwickeln;</w:t>
      </w:r>
    </w:p>
    <w:p>
      <w:r>
        <w:t xml:space="preserve">3. Offenlandbereiche außerhalb der Sonderschutzzone offen zu halten, soweit dies aus Artenschutzgründen erforderlich ist.</w:t>
      </w:r>
    </w:p>
    <w:p>
      <w:r>
        <w:rPr>
          <w:color w:val="555555"/>
          <w:sz w:val="17"/>
        </w:rPr>
        <w:t xml:space="preserve">Zitiervorschlag: § 6 SN-9759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https://recht.nulegal.eu/gesetze/SN-9759/6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