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SN-9759 (Sachsen) — Zulässige handlungen</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in Übereinstimmung mit dem Braunkohleplan als Sanierungsrahmenplan für den stillgelegten Tagebau Berzdorf bergrechtlich oder wasserrechtlich genehmigten oder zu genehmigenden Sanierungsmaßnahmen und für die Unterhaltung derart genehmigter Anlagen oder Gewässer;</w:t>
      </w:r>
    </w:p>
    <w:p>
      <w:r>
        <w:t xml:space="preserve">2. für die dem Schutzzweck untergeordnete Ausübung der Jagd in der Zeit vom 1. August bis 28./29. Februar außerhalb der Sonderschutzzone mit der Maßgabe, dass die Jagd auf Federwild unterbleibt;</w:t>
      </w:r>
    </w:p>
    <w:p>
      <w:r>
        <w:t xml:space="preserve">3. für die Jagd außerhalb der Sonderschutzzone auf Schwarzwild außerhalb des in § 5 Nr. 2 genannten Zeitraumes mit Genehmigung der Naturschutzbehörde;</w:t>
      </w:r>
    </w:p>
    <w:p>
      <w:r>
        <w:t xml:space="preserve">4. innerhalb der Sonderschutzzone für das Nachsuchen und Bergen im Rahmen der Jagdausübung im Sinne von § 5 Nr. 2 und 3 und für Jagdschutzmaßnahmen im Sinne von § 42 SächsLJagdG ;</w:t>
      </w:r>
    </w:p>
    <w:p>
      <w:r>
        <w:t xml:space="preserve">5. für die dem Schutzzweck entsprechende umweltgerechte Waldbewirtschaftung außerhalb der Sonderschutzzone mit den Maßgaben, dass</w:t>
      </w:r>
    </w:p>
    <w:p>
      <w:r>
        <w:t xml:space="preserve">a)</w:t>
      </w:r>
    </w:p>
    <w:p>
      <w:r>
        <w:t xml:space="preserve">das Einbringen von Gehölzen, die nicht zur potenziellen natürlichen Vegetation des Naturraumes Oberlausitz gehören, verboten ist;</w:t>
      </w:r>
    </w:p>
    <w:p>
      <w:r>
        <w:t xml:space="preserve">b)</w:t>
      </w:r>
    </w:p>
    <w:p>
      <w:r>
        <w:t xml:space="preserve">eine Bepflanzung von Offenlandbereichen der Genehmigung der Naturschutzbehörde bedarf;</w:t>
      </w:r>
    </w:p>
    <w:p>
      <w:r>
        <w:t xml:space="preserve">c)</w:t>
      </w:r>
    </w:p>
    <w:p>
      <w:r>
        <w:t xml:space="preserve">das Einbringen von Herbiziden, Mineraldünger, Jauche oder Gülle in den Wald verboten ist;</w:t>
      </w:r>
    </w:p>
    <w:p>
      <w:r>
        <w:t xml:space="preserve">d)</w:t>
      </w:r>
    </w:p>
    <w:p>
      <w:r>
        <w:t xml:space="preserve">Forstschutzmaßnahmen zur Bekämpfung von Insektenkalamitäten mit Insektiziden nur im Einvernehmen oder mit Genehmigung der Naturschutzbehörde angeordnet oder veranlasst werden können.</w:t>
      </w:r>
    </w:p>
    <w:p>
      <w:r>
        <w:t xml:space="preserve">Auf § 30 Abs. 2 des Waldgesetzes für den Freistaat Sachsen ( SächsWaldG ) vom 10. April 1992 (SächsGVBl. S. 137), das zuletzt durch Artikel 2 des Gesetzes vom 23. April 2007 (SächsGVBl. S. 110, 124) geändert worden ist, in der jeweils geltenden Fassung, wird verwiesen;</w:t>
      </w:r>
    </w:p>
    <w:p>
      <w:r>
        <w:t xml:space="preserve">6. für Pflege- und Entwicklungsmaßnahmen oder Tätigkeiten im Rahmen von Forschungsarbeiten, die von der Naturschutzbehörde veranlasst oder genehmigt werden;</w:t>
      </w:r>
    </w:p>
    <w:p>
      <w:r>
        <w:t xml:space="preserve">7. für behördlich angeordnete oder zugelassene Beschilderungen.</w:t>
      </w:r>
    </w:p>
    <w:p>
      <w:r>
        <w:rPr>
          <w:color w:val="555555"/>
          <w:sz w:val="17"/>
        </w:rPr>
        <w:t xml:space="preserve">Zitiervorschlag: § 5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