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SN-9757 (Sachsen) — Gegenstand der Umzonierung</w:t>
      </w:r>
    </w:p>
    <w:p>
      <w:r>
        <w:rPr>
          <w:color w:val="555555"/>
          <w:sz w:val="18"/>
        </w:rPr>
        <w:t xml:space="preserve">Verordnung des Regierungspräsidiums Chemnitz zur Änderung des Naturparkes „Erzgebirge/Vogtland“ auf dem Gebiet der Stadt Eibenstock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Nachfolgend aufgeführte Flächen werden aus der Schutzzone II in die Entwicklungszone überführt:</w:t>
      </w:r>
    </w:p>
    <w:p>
      <w:r>
        <w:t xml:space="preserve">1. Fläche um das Hotel „Am Bühl“, die Badegärten Eibenstock und östlich des Gerstenbergweges. Diese auf der Flurkarte mit der Nummer 1 gekennzeichnete Fläche umfasst folgende Flurstücke: 1113/2, 1114, 1115, 1116/3, 1116/5, 1116/6 teilweise, 1116/7, 1126/27 teilweise, 1129 teilweise, 1130, 1131a teilweise, 1444 und 1444/2.</w:t>
      </w:r>
    </w:p>
    <w:p>
      <w:r>
        <w:t xml:space="preserve">Die Größe dieser Fläche beträgt circa 9,59 Hektar.</w:t>
      </w:r>
    </w:p>
    <w:p>
      <w:r>
        <w:t xml:space="preserve">2. Fläche des Gewerbegebietes im Bereich der Straße „Am Steinbächel“ sowie der Mordgrund-Deponie.</w:t>
      </w:r>
    </w:p>
    <w:p>
      <w:r>
        <w:t xml:space="preserve">Diese auf der Flurkarte mit der Nummer 2 gekennzeichnete Fläche umfasst folgende Flurstücke: 1159/1, 1159/2, 1159/3, 1159/4, 1159/5, 1159/6, 1159/7, 1159/8, 1159/9, 1159/10, 1161/1, 1161/2, 1161/3, 1161/5, 1161/6, 1177/26, 1177/27, 1177/28, 1177/29, 1177/30, 1177/31, 1177/32, 1177/33, 1177/37 teilweise, 1177/38 teilweise, 1177/39, 1396/1 teilweise, 1396/2 teilweise, 1396/3, 1401/1 teilweise und 1401/2.</w:t>
      </w:r>
    </w:p>
    <w:p>
      <w:r>
        <w:t xml:space="preserve">Die Größe dieser Fläche beträgt circa 8,04 Hektar.</w:t>
      </w:r>
    </w:p>
    <w:p>
      <w:r>
        <w:t xml:space="preserve">3. Fläche westlich des Endes des Gutsweges.</w:t>
      </w:r>
    </w:p>
    <w:p>
      <w:r>
        <w:t xml:space="preserve">Diese auf der Flurkarte mit der Nummer 3 gekennzeichnete Fläche umfasst den südlichen Teil des Flurstücks 1176.</w:t>
      </w:r>
    </w:p>
    <w:p>
      <w:r>
        <w:t xml:space="preserve">Die Größe dieser Fläche beträgt circa 0,45 Hektar.</w:t>
      </w:r>
    </w:p>
    <w:p>
      <w:r>
        <w:t xml:space="preserve">4. Fläche südlich der Auersbergstraße am Ortsausgang.</w:t>
      </w:r>
    </w:p>
    <w:p>
      <w:r>
        <w:t xml:space="preserve">Diese auf der Flurkarte mit der Nummer 4 gekennzeichnete Fläche umfasst folgende Flurstücke: 1234/7, 1234/8 und 1234/10 teilweise.</w:t>
      </w:r>
    </w:p>
    <w:p>
      <w:r>
        <w:t xml:space="preserve">Die Größe dieser Fläche beträgt circa 0,55 Hektar.</w:t>
      </w:r>
    </w:p>
    <w:p>
      <w:r>
        <w:t xml:space="preserve">5. Fläche westlich des Carlsfelder Steiges.</w:t>
      </w:r>
    </w:p>
    <w:p>
      <w:r>
        <w:t xml:space="preserve">Diese auf der Flurkarte mit der Nummer 7 gekennzeichnete Fläche umfasst folgende Flurstücke: 585 teilweise, 586, 588/1, 588/2 teilweise und 589.</w:t>
      </w:r>
    </w:p>
    <w:p>
      <w:r>
        <w:t xml:space="preserve">Die Größe dieser Fläche beträgt circa 0,3 Hektar.</w:t>
      </w:r>
    </w:p>
    <w:p>
      <w:r>
        <w:t xml:space="preserve">6. Fläche westlich der Straße Brühl.</w:t>
      </w:r>
    </w:p>
    <w:p>
      <w:r>
        <w:t xml:space="preserve">Diese auf der Flurkarte mit der Nummer 8 gekennzeichnete Fläche umfasst folgende Flurstücke: 447/2 teilweise, 450 teilweise, 452/1 teilweise, 452/2 teilweise und 452b teilweise.</w:t>
      </w:r>
    </w:p>
    <w:p>
      <w:r>
        <w:t xml:space="preserve">Die Größe dieser Fläche beträgt circa 0,41 Hektar.</w:t>
      </w:r>
    </w:p>
    <w:p>
      <w:r>
        <w:t xml:space="preserve">7. Fläche der Forstsiedlung.</w:t>
      </w:r>
    </w:p>
    <w:p>
      <w:r>
        <w:t xml:space="preserve">Diese auf der Flurkarte mit der Nummer 9 gekennzeichnete Fläche umfasst folgende Flurstücke: 877/4, 877/5, 877/8, 877/9, 877/10, 877/11, 877/12, 877/13, 877/14, 877/15, 877/16, 877/17, 877/18 und 877/20. Die Größe dieser Fläche beträgt circa 2,37 Hektar.</w:t>
      </w:r>
    </w:p>
    <w:p>
      <w:r>
        <w:t xml:space="preserve">(2) Nachfolgend aufgeführte Flächen werden aus der Entwicklungszone in die Schutzzone II überführt:</w:t>
      </w:r>
    </w:p>
    <w:p>
      <w:r>
        <w:t xml:space="preserve">1. Fläche zwischen der Karlsbader Straße und „Grüner Graben“, beginnend ab deren Gabelung.</w:t>
      </w:r>
    </w:p>
    <w:p>
      <w:r>
        <w:t xml:space="preserve">Diese auf der Flurkarte mit der Nummer 5 gekennzeichnete Fläche umfasst den nördlichen Teil des Flurstücks 1259/3.</w:t>
      </w:r>
    </w:p>
    <w:p>
      <w:r>
        <w:t xml:space="preserve">Die Größe dieser Fläche beträgt circa 1,50 Hektar.</w:t>
      </w:r>
    </w:p>
    <w:p>
      <w:r>
        <w:t xml:space="preserve">2. Fläche östlich der Hinteren Rehmerstraße.</w:t>
      </w:r>
    </w:p>
    <w:p>
      <w:r>
        <w:t xml:space="preserve">Diese auf der Flurkarte mit der Nummer 6 gekennzeichnete Fläche umfasst den südlichen Teil des Flurstücks 1329.</w:t>
      </w:r>
    </w:p>
    <w:p>
      <w:r>
        <w:t xml:space="preserve">Die Größe dieser Fläche beträgt circa 0,83 Hektar.</w:t>
      </w:r>
    </w:p>
    <w:p>
      <w:r>
        <w:t xml:space="preserve">(3) Die Grenze zwischen der Entwicklungszone und der Schutzzone II ist in einer Flurkarte des Regierungspräsidiums Chemnitz vom 29. November 2007 im Maßstab 1:3 500 mit einer violett gefärbten Linie eingetragen. Maßgebend für die Bestimmung des räumlichen Geltungsbereiches der Umzonierungsflächen ist die Flurkarte. Die von den Änderungen nach Absatz 1 betroffenen Flächen sind auf dieser Karte rot, die von den Änderungen nach Absatz 2 grün dargestellt. Die Lage der von der Änderung betroffenen Flächen im Landschaftsraum ist außerdem in einer topographischen Übersichtskarte des Regierungspräsidiums Chemnitz vom 29. November 2007 im Maßstab 1:25 000 dargestellt. Die Flurkarte und die topographische Übersichtskarte sind Bestandteile dieser Verordnung.</w:t>
      </w:r>
    </w:p>
    <w:p>
      <w:r>
        <w:t xml:space="preserve">(4) Die Flurkarte nach Absatz 3 wird beim Regierungspräsidium Chemnitz in Chemnitz, Altchemnitzer Straße 41, Zimmer 314, auf die Dauer von zwei Wochen, beginnend am Tag nach der Verkündung dieser Verordnung im Sächsischen Gesetz- und Verordnungsblatt, zur kostenlosen Einsicht durch jedermann während der Sprechzeiten öffentlich ausgelegt.</w:t>
      </w:r>
    </w:p>
    <w:p>
      <w:r>
        <w:t xml:space="preserve">(5) Die Verordnung mit den Karten ist nach Ablauf der Auslegungsfrist im Regierungspräsidium Chemnitz unter der in Absatz 4 aufgeführten Adresse, in Zimmer 302, zur kostenlosen Einsicht durch jedermann während der Sprechzeiten niedergelegt.</w:t>
      </w:r>
    </w:p>
    <w:p>
      <w:r>
        <w:rPr>
          <w:color w:val="555555"/>
          <w:sz w:val="17"/>
        </w:rPr>
        <w:t xml:space="preserve">Zitiervorschlag: § 2 SN-9757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https://recht.nulegal.eu/gesetze/SN-9757/2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