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SN-9618 (Sachsen) — Grundzüge der Pflege und Entwicklung</w:t>
      </w:r>
    </w:p>
    <w:p>
      <w:r>
        <w:rPr>
          <w:color w:val="555555"/>
          <w:sz w:val="18"/>
        </w:rPr>
        <w:t xml:space="preserve">Verordnung des Regierungspräsidiums Chemnitz zur Festsetzung des Naturschutzgebietes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schutzzweckentsprechende Pflege und Entwicklung des Naturschutzgebietes richtet sich nach folgenden Grundzügen:</w:t>
      </w:r>
    </w:p>
    <w:p>
      <w:r>
        <w:t xml:space="preserve">Sicherung eines intakten Wasserhaushalts;</w:t>
      </w:r>
    </w:p>
    <w:p>
      <w:r>
        <w:t xml:space="preserve">Pflege von Bergwiesen, Borstgrasrasen, Feucht- und Nasswiesen mittels örtlich und zeitlich angepasster Mahd;</w:t>
      </w:r>
    </w:p>
    <w:p>
      <w:r>
        <w:t xml:space="preserve">Durchführung von Maßnahmen zur Begrenzung der Sukzession auf Offenlandflächen;</w:t>
      </w:r>
    </w:p>
    <w:p>
      <w:r>
        <w:t xml:space="preserve">Durchführung von Hilfsmaßnahmen für überregional bedeutsame Arten, unter anderem zur Erhaltung des Katzenpfötchenbestandes;</w:t>
      </w:r>
    </w:p>
    <w:p>
      <w:r>
        <w:t xml:space="preserve">Erhaltung des vorhandenen Knüppelweges für die Durchführung von Pflegemaßnahmen.</w:t>
      </w:r>
    </w:p>
    <w:p>
      <w:r>
        <w:t xml:space="preserve">(2) Einzelheiten dazu werden in einem Managementplan für das unter § 2 Abs. 5 genannte FFH-Gebiet beschrieben, soweit Lebensraumtypen nach Anhang I der FFH-RL berührt sind.</w:t>
      </w:r>
    </w:p>
    <w:p>
      <w:r>
        <w:rPr>
          <w:color w:val="555555"/>
          <w:sz w:val="17"/>
        </w:rPr>
        <w:t xml:space="preserve">Zitiervorschlag: § 7 SN-9618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https://recht.nulegal.eu/gesetze/SN-9618/7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