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SN-9592 (Sachsen)</w:t>
      </w:r>
    </w:p>
    <w:p>
      <w:r>
        <w:rPr>
          <w:color w:val="555555"/>
          <w:sz w:val="18"/>
        </w:rPr>
        <w:t xml:space="preserve">Verordnung der Sächsischen Staatsregierung zur Vereinigung der Innungskrankenkassen im Freistaat Sachsen zu einer Innungskrankenkasse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5. Juni 1998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</w:t>
      </w:r>
    </w:p>
    <w:p>
      <w:r>
        <w:t xml:space="preserve">für Soziales, Gesundheit und Familie</w:t>
      </w:r>
    </w:p>
    <w:p>
      <w:r>
        <w:t xml:space="preserve">Dr. Hans Geisler</w:t>
      </w:r>
    </w:p>
    <w:p>
      <w:r>
        <w:rPr>
          <w:color w:val="555555"/>
          <w:sz w:val="17"/>
        </w:rPr>
        <w:t xml:space="preserve">Zitiervorschlag: § 2 SN-9592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https://recht.nulegal.eu/gesetze/SN-9592/2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