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SN-9532 (Sachsen) — Erlaubnisvorbehalt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Nachfolgende Handlungen, die ebenfalls dem Schutzzweck nach § 3 zuwiderlaufen können, bedürfen der schriftlichen Erlaubnis der unteren Naturschutzbehörde:</w:t>
      </w:r>
    </w:p>
    <w:p>
      <w:r>
        <w:t xml:space="preserve">1. Erstaufforstungen; § 4 Abs. 2 Nr. 13 bleibt unberührt;</w:t>
      </w:r>
    </w:p>
    <w:p>
      <w:r>
        <w:t xml:space="preserve">2. die Errichtung von Kläranlagen oder Abwassereinleiteinrichtungen;</w:t>
      </w:r>
    </w:p>
    <w:p>
      <w:r>
        <w:t xml:space="preserve">3. die Ausbringung von Pflanzenschutzmitteln im Wald.</w:t>
      </w:r>
    </w:p>
    <w:p>
      <w:r>
        <w:t xml:space="preserve">(2) Die Erlaubnis ist zu erteilen, wenn die Handlung den Schutzzweck nach § 3 nicht beeinträchtigt oder diesem zugute kommt und Wirkungen der in § 4 genannten Art nicht zur Folge hat oder solche Wirkungen durch Auflagen oder Bedingungen abgewendet werden können.</w:t>
      </w:r>
    </w:p>
    <w:p>
      <w:r>
        <w:t xml:space="preserve">(3) Die Erlaubnis wird durch eine nach anderen Vorschriften notwendige Gestattung ersetzt, wenn diese im Einvernehmen mit der unteren Naturschutzbehörde erteilt wird.</w:t>
      </w:r>
    </w:p>
    <w:p>
      <w:r>
        <w:rPr>
          <w:color w:val="555555"/>
          <w:sz w:val="17"/>
        </w:rPr>
        <w:t xml:space="preserve">Zitiervorschlag: § 5 SN-9532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