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SN-9532 (Sachsen) — Schutzzweck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ist:</w:t>
      </w:r>
    </w:p>
    <w:p>
      <w:r>
        <w:t xml:space="preserve">1. die Erhaltung oder, wenn aktuell nicht gewährleistet, die zielgerichtete Wiederherstellung oder Entwicklung eines günstigen Erhaltungszustandes natürlicher oder naturnaher Lebensraumtypen von gemeinschaftlichem Interesse nach Anhang I FFH-RL wie</w:t>
      </w:r>
    </w:p>
    <w:p>
      <w:r>
        <w:t xml:space="preserve">–</w:t>
      </w:r>
    </w:p>
    <w:p>
      <w:r>
        <w:t xml:space="preserve">Oligo- bis mesotrophe Stillgewässer (NATURA-2000-Code 3130),</w:t>
      </w:r>
    </w:p>
    <w:p>
      <w:r>
        <w:t xml:space="preserve">–</w:t>
      </w:r>
    </w:p>
    <w:p>
      <w:r>
        <w:t xml:space="preserve">Eutrophe Stillgewässer (NATURA-2000-Code 3150),</w:t>
      </w:r>
    </w:p>
    <w:p>
      <w:r>
        <w:t xml:space="preserve">–</w:t>
      </w:r>
    </w:p>
    <w:p>
      <w:r>
        <w:t xml:space="preserve">Fließgewässer mit Unterwasservegetation (NATURA-2000-Code 3260),</w:t>
      </w:r>
    </w:p>
    <w:p>
      <w:r>
        <w:t xml:space="preserve">–</w:t>
      </w:r>
    </w:p>
    <w:p>
      <w:r>
        <w:t xml:space="preserve">Trockene Heiden (NATURA-2000-Code 4030),</w:t>
      </w:r>
    </w:p>
    <w:p>
      <w:r>
        <w:t xml:space="preserve">–</w:t>
      </w:r>
    </w:p>
    <w:p>
      <w:r>
        <w:t xml:space="preserve">Artenreiche Borstgrasrasen (NATURA-2000-Code 6230),</w:t>
      </w:r>
    </w:p>
    <w:p>
      <w:r>
        <w:t xml:space="preserve">–</w:t>
      </w:r>
    </w:p>
    <w:p>
      <w:r>
        <w:t xml:space="preserve">Pfeifengraswiesen (NATURA-2000-Code 6410),</w:t>
      </w:r>
    </w:p>
    <w:p>
      <w:r>
        <w:t xml:space="preserve">–</w:t>
      </w:r>
    </w:p>
    <w:p>
      <w:r>
        <w:t xml:space="preserve">Feuchte Hochstaudenfluren (NATURA-2000-Code 6430),</w:t>
      </w:r>
    </w:p>
    <w:p>
      <w:r>
        <w:t xml:space="preserve">–</w:t>
      </w:r>
    </w:p>
    <w:p>
      <w:r>
        <w:t xml:space="preserve">Flachland-Mähwiesen (NATURA-2000-Code 6510),</w:t>
      </w:r>
    </w:p>
    <w:p>
      <w:r>
        <w:t xml:space="preserve">–</w:t>
      </w:r>
    </w:p>
    <w:p>
      <w:r>
        <w:t xml:space="preserve">Berg-Mähwiesen (NATURA-2000-Code 6520),</w:t>
      </w:r>
    </w:p>
    <w:p>
      <w:r>
        <w:t xml:space="preserve">–</w:t>
      </w:r>
    </w:p>
    <w:p>
      <w:r>
        <w:t xml:space="preserve">Übergangs- und Schwingrasenmoore (NATURA-2000-Code 7140),</w:t>
      </w:r>
    </w:p>
    <w:p>
      <w:r>
        <w:t xml:space="preserve">–</w:t>
      </w:r>
    </w:p>
    <w:p>
      <w:r>
        <w:t xml:space="preserve">Erlen-Eschen- und Weichholzauenwälder (NATURA-2000-Code 91E0; 1 )</w:t>
      </w:r>
    </w:p>
    <w:p>
      <w:r>
        <w:t xml:space="preserve">2. die Erhaltung oder, wenn aktuell nicht gewährleistet, die Wiederherstellung eines günstigen Erhaltungszustandes der Populationen von Tierarten des Anhangs II der FFH-RL wie</w:t>
      </w:r>
    </w:p>
    <w:p>
      <w:r>
        <w:t xml:space="preserve">–</w:t>
      </w:r>
    </w:p>
    <w:p>
      <w:r>
        <w:t xml:space="preserve">Flussperlmuschel ( Margaritifera margaritifera ),</w:t>
      </w:r>
    </w:p>
    <w:p>
      <w:r>
        <w:t xml:space="preserve">–</w:t>
      </w:r>
    </w:p>
    <w:p>
      <w:r>
        <w:t xml:space="preserve">Westgroppe ( Cottus gobio ),</w:t>
      </w:r>
    </w:p>
    <w:p>
      <w:r>
        <w:t xml:space="preserve">–</w:t>
      </w:r>
    </w:p>
    <w:p>
      <w:r>
        <w:t xml:space="preserve">Bachneunauge ( Lampetra planeri ),</w:t>
      </w:r>
    </w:p>
    <w:p>
      <w:r>
        <w:t xml:space="preserve">–</w:t>
      </w:r>
    </w:p>
    <w:p>
      <w:r>
        <w:t xml:space="preserve">Dunkler Wiesenknopf-Ameisenbläuling ( Glaucopsyche nausithous )</w:t>
      </w:r>
    </w:p>
    <w:p>
      <w:r>
        <w:t xml:space="preserve">sowie der für ihre Existenz notwendigen Habitate;</w:t>
      </w:r>
    </w:p>
    <w:p>
      <w:r>
        <w:t xml:space="preserve">3. die Entwicklung geeigneter Habitate für den in Sachsen vom Aussterben bedrohten Abbiss-Scheckenfalter ( Euphydryas aurinia ) als Art des Anhangs II der FFH-RL;</w:t>
      </w:r>
    </w:p>
    <w:p>
      <w:r>
        <w:t xml:space="preserve">4. die Erhaltung oder Entwicklung der mit den in Nummer 1 aufgeführten Lebensraumtypen räumlich und funktional verknüpften regionaltypischen Lebensraumtypen wie artenreiche, extensiv genutzte Feucht- und Nasswiesen, Hochstaudenfluren sumpfiger Standorte, nicht in Nummer 1 enthaltene naturnahe Still- und Fließgewässer, die für die Aufrechterhaltung der Kohärenzfunktionen innerhalb des FFH-Gebietes (Biotopverbund) und für die Erhaltung der ökologischen Funktionsfähigkeit des Gebietes von Bedeutung sind;</w:t>
      </w:r>
    </w:p>
    <w:p>
      <w:r>
        <w:t xml:space="preserve">5. die Erhaltung oder Entwicklung der Bestände sonstiger seltener und gefährdeter Pflanzenarten wie zum Beispiel Tannen-Bärlapp ( Huperzia selago ), Rundblättriger Sonnentau ( Drosera rotundifolia ), Echtes Fettkraut ( Pinguicula vulgaris ), Sumpf-Herzblatt ( Parnassia palustris ), Moosbeere ( Oxycoccus palustris ), Fieberklee ( Menyanthes trifoliata ), Schmalblättriges Wollgras ( Eriophorum angustifolium ), Mondrautenfarn ( Botrychium lunaria ), Katzenpfötchen ( Antennaria dioica ), Arnika ( Arnica montana ), Teufelsabbiss ( Succisa pratensis ), Wald-Läusekraut ( Pedicularis sylvatica ), Wasser-Greiskraut ( Senecio aquaticus ), Breitblättriges Knabenkraut ( Dactylorhiza majalis ), Kleiner Baldrian ( Valeriana dioica ) und der Vegetationsgesellschaften, in denen diese Pflanzen typischerweise vorkommen;</w:t>
      </w:r>
    </w:p>
    <w:p>
      <w:r>
        <w:t xml:space="preserve">6. die Erhaltung, Wiederherstellung oder Entwicklung der im Naturschutzgebiet vorhandenen Lebensräume als Habitate gefährdeter Tiergemeinschaften, insbesondere der wertvollen Wirbellosenzönosen mit zum Teil hochgradig gefährdeten aquatischen Organismen (zum Beispiel Astacus astacus , Cordulegaster boltonii , Isoperla oxylepis , Hydropsyche silvenii , Agabus biguttatus ), Tagfalter (zum Beispiel Plebeius optilete , Melitaea cinxia , Boloria aquilonaris , Melitaea diamina ), Heuschrecken (zum Beispiel Conocephalus dorsalis , Mecostethus grossus , Tetrix bipunctata ), Spinnen (zum Beispiel Dolomedes fimbriatus ) sowie für Fische und Vogelarten naturnaher Bachläufe (zum Beispiel Salmo trutta fario , Phoxinus phoxinus , Cinclus cinclus ) sowie wiesenbrütende Vögel (zum Beispiel Saxicola rubetra , Anthus pratensis );</w:t>
      </w:r>
    </w:p>
    <w:p>
      <w:r>
        <w:t xml:space="preserve">7. die Erhaltung des Rauner- und Haarbachtals mit seinem reich gegliederten Mosaik aus naturnahen Fließ- und Stillgewässern, blumenbunten Mager-, Feucht- und Nasswiesen, Hochstaudenfluren, Übergangsmooren und anderen attraktiven Lebensräumen wegen ihrer Seltenheit, besonderen Eigenart und hervorragenden Schönheit;</w:t>
      </w:r>
    </w:p>
    <w:p>
      <w:r>
        <w:t xml:space="preserve">8. die Erhaltung einzigartiger Landschaftspotenziale und Zönosen für die wissenschaftliche, naturgeschichtliche und landeskundliche Forschung.</w:t>
      </w:r>
    </w:p>
    <w:p>
      <w:r>
        <w:t xml:space="preserve">(2) Die Schutzzwecke nach Absatz 1 Nr. 1 bis 4 tragen den durch das Staatsministerium für Umwelt und Landwirtschaft für das unter § 2 Abs. 5 erwähnte FFH-Gebiet aufgestellten verbindlichen Erhaltungszielen Rechnung und sollen damit die Sicherung eines bedeutenden Teils dieses Schutzgebietes als Bestandteil des Europäischen Schutzgebietssystems NATURA 2000 bewirken.</w:t>
      </w:r>
    </w:p>
    <w:p>
      <w:r>
        <w:rPr>
          <w:color w:val="555555"/>
          <w:sz w:val="17"/>
        </w:rPr>
        <w:t xml:space="preserve">Zitiervorschlag: § 3 SN-9532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